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709"/>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09"/>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8"/>
          <w:szCs w:val="28"/>
        </w:rPr>
      </w:pPr>
      <w:r>
        <w:rPr>
          <w:rFonts w:hint="eastAsia" w:ascii="宋体" w:hAnsi="宋体" w:cs="宋体"/>
          <w:b/>
          <w:color w:val="auto"/>
          <w:spacing w:val="76"/>
          <w:sz w:val="112"/>
          <w:szCs w:val="112"/>
        </w:rPr>
        <w:t xml:space="preserve">招标文件</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709"/>
        <w:rPr>
          <w:rFonts w:hint="eastAsia" w:ascii="宋体" w:hAnsi="宋体" w:cs="宋体"/>
          <w:color w:val="auto"/>
          <w:sz w:val="28"/>
          <w:szCs w:val="28"/>
        </w:rPr>
      </w:pPr>
      <w:r>
        <w:rPr>
          <w:rFonts w:hint="eastAsia" w:ascii="宋体" w:hAnsi="宋体" w:cs="宋体"/>
          <w:color w:val="auto"/>
          <w:sz w:val="28"/>
          <w:szCs w:val="28"/>
        </w:rPr>
      </w:r>
      <w:r/>
    </w:p>
    <w:p>
      <w:pPr>
        <w:pStyle w:val="709"/>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JSZC-320300-HWZX-G2026-0077</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徐州市中心医院内窥镜中心内窥镜维保项目</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徐州市中心医院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923"/>
        <w:ind w:firstLine="0"/>
        <w:rPr>
          <w:rFonts w:hint="eastAsia" w:hAnsi="宋体" w:cs="宋体"/>
          <w:color w:val="auto"/>
          <w:sz w:val="28"/>
          <w:szCs w:val="28"/>
        </w:rPr>
      </w:pPr>
      <w:r>
        <w:rPr>
          <w:rFonts w:hint="eastAsia"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714"/>
        <w:rPr>
          <w:rFonts w:hint="eastAsia" w:ascii="宋体" w:hAnsi="宋体" w:cs="宋体"/>
          <w:color w:val="auto"/>
          <w:sz w:val="28"/>
          <w:szCs w:val="28"/>
        </w:rPr>
      </w:pPr>
      <w:r>
        <w:rPr>
          <w:rFonts w:hint="eastAsia" w:ascii="宋体" w:hAnsi="宋体" w:cs="宋体"/>
          <w:color w:val="auto"/>
          <w:sz w:val="28"/>
          <w:szCs w:val="28"/>
        </w:rPr>
      </w:r>
      <w:r/>
    </w:p>
    <w:p>
      <w:pPr>
        <w:ind w:right="-159" w:firstLine="1440"/>
        <w:spacing w:line="300" w:lineRule="auto"/>
        <w:rPr>
          <w:rFonts w:hint="eastAsia" w:ascii="宋体" w:hAnsi="宋体" w:cs="宋体"/>
          <w:color w:val="auto"/>
          <w:sz w:val="28"/>
          <w:szCs w:val="28"/>
        </w:r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1938655</wp:posOffset>
                </wp:positionH>
                <wp:positionV relativeFrom="paragraph">
                  <wp:posOffset>237490</wp:posOffset>
                </wp:positionV>
                <wp:extent cx="1269365" cy="503555"/>
                <wp:effectExtent l="0" t="0" r="6985" b="1079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26936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2.7pt;mso-position-horizontal:absolute;mso-position-vertical-relative:text;margin-top:18.7pt;mso-position-vertical:absolute;width:99.9pt;height:39.6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二</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735"/>
          <w:rFonts w:hint="eastAsia" w:ascii="宋体" w:hAnsi="宋体" w:cs="宋体"/>
          <w:color w:val="auto"/>
          <w:sz w:val="28"/>
          <w:szCs w:val="28"/>
          <w:u w:val="none"/>
        </w:rPr>
        <w:t xml:space="preserve">第一章  投标邀请</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735"/>
          <w:rFonts w:hint="eastAsia" w:ascii="宋体" w:hAnsi="宋体" w:cs="宋体"/>
          <w:color w:val="auto"/>
          <w:sz w:val="28"/>
          <w:szCs w:val="28"/>
          <w:u w:val="none"/>
        </w:rPr>
        <w:t xml:space="preserve">第二章  投标人须知</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735"/>
          <w:rFonts w:hint="eastAsia" w:ascii="宋体" w:hAnsi="宋体" w:cs="宋体"/>
          <w:color w:val="auto"/>
          <w:sz w:val="28"/>
          <w:szCs w:val="28"/>
          <w:u w:val="none"/>
        </w:rPr>
        <w:t xml:space="preserve">第三章  投标资料表</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735"/>
          <w:rFonts w:hint="eastAsia" w:ascii="宋体" w:hAnsi="宋体" w:cs="宋体"/>
          <w:color w:val="auto"/>
          <w:sz w:val="28"/>
          <w:szCs w:val="28"/>
          <w:u w:val="none"/>
        </w:rPr>
        <w:t xml:space="preserve">第四章  评标标准</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735"/>
          <w:rFonts w:hint="eastAsia" w:ascii="宋体" w:hAnsi="宋体" w:cs="宋体"/>
          <w:color w:val="auto"/>
          <w:sz w:val="28"/>
          <w:szCs w:val="28"/>
          <w:u w:val="none"/>
        </w:rPr>
        <w:t xml:space="preserve">第五章  拟签订的合同文本</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735"/>
          <w:rFonts w:hint="eastAsia" w:ascii="宋体" w:hAnsi="宋体" w:cs="宋体"/>
          <w:color w:val="auto"/>
          <w:sz w:val="28"/>
          <w:szCs w:val="28"/>
          <w:u w:val="none"/>
        </w:rPr>
        <w:t xml:space="preserve">第六章  采购需求</w:t>
      </w:r>
      <w:r>
        <w:rPr>
          <w:rStyle w:val="73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735"/>
          <w:rFonts w:hint="eastAsia" w:ascii="宋体" w:hAnsi="宋体" w:cs="宋体"/>
          <w:color w:val="auto"/>
          <w:sz w:val="28"/>
          <w:szCs w:val="28"/>
          <w:u w:val="none"/>
        </w:rPr>
        <w:t xml:space="preserve">第七章  投标文件相关格式</w:t>
      </w:r>
      <w:r>
        <w:rPr>
          <w:rStyle w:val="735"/>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519" w:lineRule="atLeast"/>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徐州市中心医院</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徐州市中心医院内窥镜中心内窥镜维保项目</w:t>
      </w:r>
      <w:r>
        <w:rPr>
          <w:rFonts w:hint="eastAsia" w:ascii="宋体" w:hAnsi="宋体" w:cs="宋体"/>
          <w:b/>
          <w:color w:val="auto"/>
          <w:sz w:val="36"/>
          <w:szCs w:val="36"/>
        </w:rPr>
        <w:t xml:space="preserve">》</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徐州市中心医院内窥镜中心内窥镜维保项目</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徐州市中心医院内窥镜中心内窥镜维保项目</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JSZC-320300-HWZX-G2026-0077</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27</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27</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徐州市中心医院</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（二）地址：徐州市解放路199号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徐青松</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（四）联系电话：0516-83956095</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（四）联系方式：0516-83999</w:t>
      </w:r>
      <w:r>
        <w:rPr>
          <w:rFonts w:hint="eastAsia" w:ascii="宋体" w:hAnsi="宋体" w:cs="宋体"/>
          <w:color w:val="auto"/>
          <w:sz w:val="24"/>
          <w:szCs w:val="24"/>
          <w:lang w:val="en-US" w:eastAsia="zh-CN"/>
        </w:rPr>
        <w:t xml:space="preserve">306</w:t>
      </w:r>
      <w:r/>
    </w:p>
    <w:p>
      <w:pPr>
        <w:jc w:val="center"/>
        <w:spacing w:line="720" w:lineRule="atLeast"/>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735"/>
          <w:rFonts w:hint="eastAsia" w:ascii="宋体" w:hAnsi="宋体" w:cs="宋体"/>
          <w:color w:val="auto"/>
          <w:sz w:val="24"/>
          <w:szCs w:val="24"/>
          <w:u w:val="none"/>
        </w:rPr>
        <w:t xml:space="preserve">政府采购</w:t>
      </w:r>
      <w:r>
        <w:rPr>
          <w:rStyle w:val="735"/>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735"/>
          <w:rFonts w:hint="eastAsia" w:ascii="宋体" w:hAnsi="宋体" w:cs="宋体"/>
          <w:color w:val="auto"/>
          <w:sz w:val="24"/>
          <w:szCs w:val="24"/>
          <w:u w:val="none"/>
        </w:rPr>
        <w:t xml:space="preserve">最低评标价法</w:t>
      </w:r>
      <w:r>
        <w:rPr>
          <w:rStyle w:val="73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735"/>
          <w:rFonts w:hint="eastAsia" w:ascii="宋体" w:hAnsi="宋体" w:cs="宋体"/>
          <w:color w:val="auto"/>
          <w:sz w:val="24"/>
          <w:szCs w:val="24"/>
          <w:u w:val="none"/>
        </w:rPr>
        <w:t xml:space="preserve">综合评分法</w:t>
      </w:r>
      <w:r>
        <w:rPr>
          <w:rStyle w:val="73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（三十）评标过程中出现下列情形之一的，评标委员会应当启动异常低价投标审查程序：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1、投标报价低于采购项目预算50%的，即投标报价&lt;采购项目最高限价×50%。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2、评标委员会认定的投标人报价过低、有可能影响产品质量或者不能诚信履约的其他情形。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60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33"/>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总则</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徐州市中心医院</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服务</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81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rPr>
                <w:rFonts w:hint="eastAsia" w:asciiTheme="minorEastAsia" w:hAnsiTheme="minorEastAsia" w:eastAsiaTheme="minorEastAsia" w:cstheme="minorEastAsia"/>
                <w:color w:val="auto"/>
                <w:sz w:val="24"/>
                <w:szCs w:val="24"/>
                <w:lang w:eastAsia="zh-CN"/>
              </w:rPr>
              <w:t xml:space="preserve">。</w:t>
            </w:r>
            <w:r/>
          </w:p>
          <w:p>
            <w:pPr>
              <w:rPr>
                <w:rFonts w:hint="eastAsia" w:asciiTheme="minorEastAsia" w:hAnsiTheme="minorEastAsia" w:eastAsiaTheme="minorEastAsia" w:cstheme="minorEastAsia"/>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auto"/>
                <w:sz w:val="24"/>
                <w:szCs w:val="24"/>
                <w:lang w:val="en-US" w:eastAsia="zh-CN"/>
              </w:rPr>
              <w:t xml:space="preserve">二、本项目属于专门面向中小企业采购的项目，投标人应为中小微企业或监狱企业或残疾人福利性单位。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4、“信用中国(江苏徐州)”网（http://www.xuzhoucredit.gov.cn）；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招标代理服务费由中标人支付，标准按《招标代理服务收费标准》（见附件）。</w:t>
            </w:r>
            <w:r/>
          </w:p>
        </w:tc>
      </w:tr>
      <w:tr>
        <w:trPr>
          <w:jc w:val="center"/>
          <w:trHeight w:val="39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w:t>
            </w:r>
            <w:r/>
          </w:p>
        </w:tc>
      </w:tr>
      <w:tr>
        <w:trPr>
          <w:jc w:val="center"/>
          <w:trHeight w:val="151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rPr>
                <w:rFonts w:hint="eastAsia" w:asciiTheme="minorEastAsia" w:hAnsiTheme="minorEastAsia" w:eastAsiaTheme="minorEastAsia" w:cstheme="minorEastAsia"/>
                <w:b/>
                <w:color w:val="ff0000"/>
                <w:sz w:val="24"/>
                <w:szCs w:val="24"/>
                <w:lang w:eastAsia="zh-CN"/>
              </w:rPr>
              <w:t xml:space="preserve">（</w:t>
            </w:r>
            <w:r>
              <w:rPr>
                <w:rFonts w:hint="eastAsia" w:asciiTheme="minorEastAsia" w:hAnsiTheme="minorEastAsia" w:eastAsiaTheme="minorEastAsia" w:cstheme="minorEastAsia"/>
                <w:b/>
                <w:color w:val="ff0000"/>
                <w:sz w:val="24"/>
                <w:szCs w:val="24"/>
                <w:lang w:val="en-US" w:eastAsia="zh-CN"/>
              </w:rPr>
              <w:t xml:space="preserve">2年服务期总价</w:t>
            </w:r>
            <w:r>
              <w:rPr>
                <w:rFonts w:hint="eastAsia" w:asciiTheme="minorEastAsia" w:hAnsiTheme="minorEastAsia" w:eastAsiaTheme="minorEastAsia" w:cstheme="minorEastAsia"/>
                <w:b/>
                <w:color w:val="ff0000"/>
                <w:sz w:val="24"/>
                <w:szCs w:val="24"/>
                <w:lang w:eastAsia="zh-CN"/>
              </w:rPr>
              <w:t xml:space="preserve">）</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(一)投标人合法有效的营业执照扫描件，或事业单位法人证书扫描件，或民办非企业单位登记证书扫描件；</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 具备履行合同所必需的设备和专业技术能力的证明材料。即投标文件中提供《具备履行合同所必需的设备和专业技术能力的书面声明（附证明材料扫描件）》（加盖投标人公章，格式见招标文件第七章《投标文件相关格式》,所附证明材料扫描件可不加盖投标人公章）。</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w:t>
            </w:r>
            <w:r>
              <w:rPr>
                <w:rFonts w:hint="eastAsia" w:asciiTheme="minorEastAsia" w:hAnsiTheme="minorEastAsia" w:eastAsiaTheme="minorEastAsia" w:cstheme="minorEastAsia"/>
                <w:b w:val="0"/>
                <w:bCs w:val="0"/>
                <w:color w:val="auto"/>
                <w:sz w:val="24"/>
                <w:szCs w:val="24"/>
                <w:lang w:val="en-US" w:eastAsia="zh-CN"/>
              </w:rPr>
              <w:t xml:space="preserve">或未提供</w:t>
            </w:r>
            <w:r>
              <w:rPr>
                <w:rFonts w:hint="eastAsia" w:asciiTheme="minorEastAsia" w:hAnsiTheme="minorEastAsia" w:eastAsiaTheme="minorEastAsia" w:cstheme="minorEastAsia"/>
                <w:b w:val="0"/>
                <w:bCs w:val="0"/>
                <w:color w:val="auto"/>
                <w:sz w:val="24"/>
                <w:szCs w:val="24"/>
              </w:rPr>
              <w:t xml:space="preserve">的，</w:t>
            </w:r>
            <w:r>
              <w:rPr>
                <w:rFonts w:hint="eastAsia" w:asciiTheme="minorEastAsia" w:hAnsiTheme="minorEastAsia" w:eastAsiaTheme="minorEastAsia" w:cstheme="minorEastAsia"/>
                <w:b w:val="0"/>
                <w:bCs w:val="0"/>
                <w:color w:val="auto"/>
                <w:sz w:val="24"/>
                <w:szCs w:val="24"/>
                <w:lang w:val="en-US" w:eastAsia="zh-CN"/>
              </w:rPr>
              <w:t xml:space="preserve">均</w:t>
            </w:r>
            <w:r>
              <w:rPr>
                <w:rFonts w:hint="eastAsia" w:asciiTheme="minorEastAsia" w:hAnsiTheme="minorEastAsia" w:eastAsiaTheme="minorEastAsia" w:cstheme="minorEastAsia"/>
                <w:b w:val="0"/>
                <w:bCs w:val="0"/>
                <w:color w:val="auto"/>
                <w:sz w:val="24"/>
                <w:szCs w:val="24"/>
              </w:rPr>
              <w:t xml:space="preserve">视为无效）。《中小企业声明函》查询渠道用微信搜索“中小企业规模类型自测小程序”。</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注：</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(一)报价</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rPr>
              <w:t xml:space="preserve">、《分项价格表》。</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1、《投标函》</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color w:val="auto"/>
                <w:sz w:val="24"/>
                <w:szCs w:val="24"/>
              </w:rPr>
              <w:t xml:space="preserve">《授权委托书》、《法定代表人身份证明书》。</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1、偏离表、技术及服务响应</w:t>
            </w:r>
            <w:r>
              <w:rPr>
                <w:rFonts w:hint="eastAsia" w:asciiTheme="minorEastAsia" w:hAnsiTheme="minorEastAsia" w:eastAsiaTheme="minorEastAsia" w:cstheme="minorEastAsia"/>
                <w:color w:val="auto"/>
                <w:sz w:val="24"/>
                <w:szCs w:val="24"/>
              </w:rPr>
              <w:t xml:space="preserve">（要求见招标文件</w:t>
            </w:r>
            <w:r>
              <w:rPr>
                <w:rFonts w:hint="eastAsia" w:asciiTheme="minorEastAsia" w:hAnsiTheme="minorEastAsia" w:eastAsiaTheme="minorEastAsia" w:cstheme="minorEastAsia"/>
                <w:color w:val="auto"/>
                <w:sz w:val="24"/>
                <w:szCs w:val="24"/>
                <w:lang w:val="en-US" w:eastAsia="zh-CN"/>
              </w:rPr>
              <w:t xml:space="preserve">第四章《评标标准》以及</w:t>
            </w:r>
            <w:r>
              <w:rPr>
                <w:rFonts w:hint="eastAsia" w:asciiTheme="minorEastAsia" w:hAnsiTheme="minorEastAsia" w:eastAsiaTheme="minorEastAsia" w:cstheme="minorEastAsia"/>
                <w:color w:val="auto"/>
                <w:sz w:val="24"/>
                <w:szCs w:val="24"/>
              </w:rPr>
              <w:t xml:space="preserve">第六章《采购需求》）；</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人员配备</w:t>
            </w:r>
            <w:r>
              <w:rPr>
                <w:rFonts w:hint="eastAsia" w:asciiTheme="minorEastAsia" w:hAnsiTheme="minorEastAsia" w:eastAsiaTheme="minorEastAsia" w:cstheme="minorEastAsia"/>
                <w:color w:val="auto"/>
                <w:sz w:val="24"/>
                <w:szCs w:val="24"/>
              </w:rPr>
              <w:t xml:space="preserve">（要求见招标文件</w:t>
            </w:r>
            <w:r>
              <w:rPr>
                <w:rFonts w:hint="eastAsia" w:asciiTheme="minorEastAsia" w:hAnsiTheme="minorEastAsia" w:eastAsiaTheme="minorEastAsia" w:cstheme="minorEastAsia"/>
                <w:color w:val="auto"/>
                <w:sz w:val="24"/>
                <w:szCs w:val="24"/>
                <w:lang w:val="en-US" w:eastAsia="zh-CN"/>
              </w:rPr>
              <w:t xml:space="preserve">第四章《评标标准》以及</w:t>
            </w:r>
            <w:r>
              <w:rPr>
                <w:rFonts w:hint="eastAsia" w:asciiTheme="minorEastAsia" w:hAnsiTheme="minorEastAsia" w:eastAsiaTheme="minorEastAsia" w:cstheme="minorEastAsia"/>
                <w:color w:val="auto"/>
                <w:sz w:val="24"/>
                <w:szCs w:val="24"/>
              </w:rPr>
              <w:t xml:space="preserve">第六章《采购需求》）；</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日常维护方案</w:t>
            </w:r>
            <w:r>
              <w:rPr>
                <w:rFonts w:hint="eastAsia" w:asciiTheme="minorEastAsia" w:hAnsiTheme="minorEastAsia" w:eastAsiaTheme="minorEastAsia" w:cstheme="minorEastAsia"/>
                <w:color w:val="auto"/>
                <w:sz w:val="24"/>
                <w:szCs w:val="24"/>
              </w:rPr>
              <w:t xml:space="preserve">（要求见招标文件</w:t>
            </w:r>
            <w:r>
              <w:rPr>
                <w:rFonts w:hint="eastAsia" w:asciiTheme="minorEastAsia" w:hAnsiTheme="minorEastAsia" w:eastAsiaTheme="minorEastAsia" w:cstheme="minorEastAsia"/>
                <w:color w:val="auto"/>
                <w:sz w:val="24"/>
                <w:szCs w:val="24"/>
                <w:lang w:val="en-US" w:eastAsia="zh-CN"/>
              </w:rPr>
              <w:t xml:space="preserve">第四章《评标标准》以及</w:t>
            </w:r>
            <w:r>
              <w:rPr>
                <w:rFonts w:hint="eastAsia" w:asciiTheme="minorEastAsia" w:hAnsiTheme="minorEastAsia" w:eastAsiaTheme="minorEastAsia" w:cstheme="minorEastAsia"/>
                <w:color w:val="auto"/>
                <w:sz w:val="24"/>
                <w:szCs w:val="24"/>
              </w:rPr>
              <w:t xml:space="preserve">第六章《采购需求》）；</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w:t>
            </w:r>
            <w:r>
              <w:rPr>
                <w:rFonts w:hint="eastAsia" w:asciiTheme="minorEastAsia" w:hAnsiTheme="minorEastAsia" w:eastAsiaTheme="minorEastAsia" w:cstheme="minorEastAsia"/>
                <w:b/>
                <w:bCs/>
                <w:color w:val="auto"/>
                <w:sz w:val="24"/>
                <w:szCs w:val="24"/>
              </w:rPr>
              <w:t xml:space="preserve">质量保障措施</w:t>
            </w:r>
            <w:r>
              <w:rPr>
                <w:rFonts w:hint="eastAsia" w:asciiTheme="minorEastAsia" w:hAnsiTheme="minorEastAsia" w:eastAsiaTheme="minorEastAsia" w:cstheme="minorEastAsia"/>
                <w:color w:val="auto"/>
                <w:sz w:val="24"/>
                <w:szCs w:val="24"/>
              </w:rPr>
              <w:t xml:space="preserve">（要求见招标文件</w:t>
            </w:r>
            <w:r>
              <w:rPr>
                <w:rFonts w:hint="eastAsia" w:asciiTheme="minorEastAsia" w:hAnsiTheme="minorEastAsia" w:eastAsiaTheme="minorEastAsia" w:cstheme="minorEastAsia"/>
                <w:color w:val="auto"/>
                <w:sz w:val="24"/>
                <w:szCs w:val="24"/>
                <w:lang w:val="en-US" w:eastAsia="zh-CN"/>
              </w:rPr>
              <w:t xml:space="preserve">第四章《评标标准》以及</w:t>
            </w:r>
            <w:r>
              <w:rPr>
                <w:rFonts w:hint="eastAsia" w:asciiTheme="minorEastAsia" w:hAnsiTheme="minorEastAsia" w:eastAsiaTheme="minorEastAsia" w:cstheme="minorEastAsia"/>
                <w:color w:val="auto"/>
                <w:sz w:val="24"/>
                <w:szCs w:val="24"/>
              </w:rPr>
              <w:t xml:space="preserve">第六章《采购需求》）；</w:t>
            </w:r>
            <w:r/>
          </w:p>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售后服务及应急方案</w:t>
            </w:r>
            <w:r>
              <w:rPr>
                <w:rFonts w:hint="eastAsia" w:asciiTheme="minorEastAsia" w:hAnsiTheme="minorEastAsia" w:eastAsiaTheme="minorEastAsia" w:cstheme="minorEastAsia"/>
                <w:color w:val="auto"/>
                <w:sz w:val="24"/>
                <w:szCs w:val="24"/>
              </w:rPr>
              <w:t xml:space="preserve">（要求见招标文件</w:t>
            </w:r>
            <w:r>
              <w:rPr>
                <w:rFonts w:hint="eastAsia" w:asciiTheme="minorEastAsia" w:hAnsiTheme="minorEastAsia" w:eastAsiaTheme="minorEastAsia" w:cstheme="minorEastAsia"/>
                <w:color w:val="auto"/>
                <w:sz w:val="24"/>
                <w:szCs w:val="24"/>
                <w:lang w:val="en-US" w:eastAsia="zh-CN"/>
              </w:rPr>
              <w:t xml:space="preserve">第四章《评标标准》以及</w:t>
            </w:r>
            <w:r>
              <w:rPr>
                <w:rFonts w:hint="eastAsia" w:asciiTheme="minorEastAsia" w:hAnsiTheme="minorEastAsia" w:eastAsiaTheme="minorEastAsia" w:cstheme="minorEastAsia"/>
                <w:color w:val="auto"/>
                <w:sz w:val="24"/>
                <w:szCs w:val="24"/>
              </w:rPr>
              <w:t xml:space="preserve">第六章《采购需求》）；</w:t>
            </w:r>
            <w:bookmarkStart w:id="2" w:name="_GoBack"/>
            <w:r/>
            <w:bookmarkEnd w:id="2"/>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培训方案</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7</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w:t>
            </w:r>
            <w:r>
              <w:rPr>
                <w:rFonts w:hint="eastAsia" w:asciiTheme="minorEastAsia" w:hAnsiTheme="minorEastAsia" w:eastAsiaTheme="minorEastAsia" w:cstheme="minorEastAsia"/>
                <w:b/>
                <w:bCs/>
                <w:color w:val="auto"/>
                <w:sz w:val="24"/>
                <w:szCs w:val="24"/>
                <w:lang w:val="en-US" w:eastAsia="zh-CN"/>
              </w:rPr>
              <w:t xml:space="preserve">业绩</w:t>
            </w:r>
            <w:r>
              <w:rPr>
                <w:rFonts w:hint="eastAsia" w:asciiTheme="minorEastAsia" w:hAnsiTheme="minorEastAsia" w:eastAsiaTheme="minorEastAsia" w:cstheme="minorEastAsia"/>
                <w:b w:val="0"/>
                <w:bCs w:val="0"/>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、投标人其他证明文件及材料扫描件。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五、其他部分</w:t>
            </w:r>
            <w:r/>
          </w:p>
          <w:p>
            <w:pPr>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rPr>
              <w:t xml:space="preserve">1、价格折扣文件格式：</w:t>
            </w:r>
            <w:r>
              <w:rPr>
                <w:rFonts w:hint="eastAsia" w:asciiTheme="minorEastAsia" w:hAnsiTheme="minorEastAsia" w:eastAsiaTheme="minorEastAsia" w:cstheme="minorEastAsia"/>
                <w:b/>
                <w:color w:val="auto"/>
                <w:sz w:val="24"/>
                <w:szCs w:val="24"/>
                <w:lang w:val="en-US" w:eastAsia="zh-CN"/>
              </w:rPr>
              <w:t xml:space="preserve">无。</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本项目不接受超过人民币</w:t>
            </w: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80.00万元（采购项目预算金额）的投标报价。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投标报价包括完成本项工作所需的一切费用，包括但不限于完成该标的物全部内容的零配件、材料、安装、调试、人工、机械、保险、运费、劳保、各种税费以及质保期间的一切费用。</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w:t>
            </w:r>
            <w:r>
              <w:rPr>
                <w:rFonts w:hint="eastAsia" w:asciiTheme="minorEastAsia" w:hAnsiTheme="minorEastAsia" w:eastAsiaTheme="minorEastAsia" w:cstheme="minorEastAsia"/>
                <w:color w:val="auto"/>
                <w:sz w:val="24"/>
                <w:szCs w:val="24"/>
                <w:lang w:val="en-US" w:eastAsia="zh-CN"/>
              </w:rPr>
              <w:t xml:space="preserve">优惠率</w:t>
            </w:r>
            <w:r>
              <w:rPr>
                <w:rFonts w:hint="eastAsia" w:asciiTheme="minorEastAsia" w:hAnsiTheme="minorEastAsia" w:eastAsiaTheme="minorEastAsia" w:cstheme="minorEastAsia"/>
                <w:color w:val="auto"/>
                <w:sz w:val="24"/>
                <w:szCs w:val="24"/>
              </w:rPr>
              <w:t xml:space="preserve">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735"/>
                <w:rFonts w:hint="eastAsia" w:asciiTheme="minorEastAsia" w:hAnsiTheme="minorEastAsia" w:eastAsiaTheme="minorEastAsia" w:cs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35"/>
                <w:rFonts w:hint="eastAsia" w:asciiTheme="minorEastAsia" w:hAnsiTheme="minorEastAsia" w:eastAsiaTheme="minorEastAsia" w:cstheme="minorEastAsia"/>
                <w:color w:val="auto"/>
                <w:sz w:val="24"/>
                <w:szCs w:val="24"/>
                <w:u w:val="none"/>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0" w:hanging="560"/>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w:t>
            </w:r>
            <w:r>
              <w:rPr>
                <w:rFonts w:hint="eastAsia" w:asciiTheme="minorEastAsia" w:hAnsiTheme="minorEastAsia" w:eastAsiaTheme="minorEastAsia" w:cstheme="minorEastAsia"/>
                <w:b/>
                <w:bCs/>
                <w:color w:val="auto"/>
                <w:sz w:val="24"/>
                <w:szCs w:val="24"/>
                <w:lang w:eastAsia="zh-CN"/>
              </w:rPr>
              <w:t xml:space="preserve">2026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2</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27</w:t>
            </w:r>
            <w:r>
              <w:rPr>
                <w:rFonts w:hint="eastAsia" w:asciiTheme="minorEastAsia" w:hAnsiTheme="minorEastAsia" w:eastAsiaTheme="minorEastAsia" w:cstheme="minorEastAsia"/>
                <w:b/>
                <w:bCs/>
                <w:color w:val="auto"/>
                <w:sz w:val="24"/>
                <w:szCs w:val="24"/>
              </w:rPr>
              <w:t xml:space="preserve">日09:30前。</w:t>
            </w:r>
            <w:r/>
          </w:p>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开标</w:t>
            </w:r>
            <w:r/>
          </w:p>
        </w:tc>
      </w:tr>
      <w:tr>
        <w:trPr>
          <w:jc w:val="center"/>
          <w:trHeight w:val="216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lang w:eastAsia="zh-CN"/>
              </w:rPr>
              <w:t xml:space="preserve">2026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2</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27 </w:t>
            </w:r>
            <w:r>
              <w:rPr>
                <w:rFonts w:hint="eastAsia" w:asciiTheme="minorEastAsia" w:hAnsiTheme="minorEastAsia" w:eastAsiaTheme="minorEastAsia" w:cstheme="minorEastAsia"/>
                <w:b/>
                <w:color w:val="auto"/>
                <w:sz w:val="24"/>
                <w:szCs w:val="24"/>
              </w:rPr>
              <w:t xml:space="preserve">日09：30（北京时间）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项目日常维护方案</w:t>
            </w:r>
            <w:r>
              <w:rPr>
                <w:rFonts w:hint="eastAsia" w:asciiTheme="minorEastAsia" w:hAnsiTheme="minorEastAsia" w:eastAsiaTheme="minorEastAsia" w:cstheme="minorEastAsia"/>
                <w:color w:val="auto"/>
                <w:sz w:val="24"/>
                <w:szCs w:val="24"/>
              </w:rPr>
              <w:t xml:space="preserve">得分顺序排列。</w:t>
            </w:r>
            <w:r/>
          </w:p>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43"/>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（三十八）</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签订合同前，中标人应向采购人支付中标金额10%的履约保证金，以支票、汇票、本票或者金融机构、担保机构出具的保函等非现金形式缴纳。履约保证金在乙方完成合同全部内容，经双方书面确认符合维保要求，无责任纠纷，15个工作日无息退还。</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联系电话：0516-83999055</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邮箱：jocxz03@jocite.com</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733"/>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、招标代理服务收费以标段为单位进行结算。</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cs="宋体"/>
          <w:b w:val="0"/>
          <w:bCs/>
          <w:color w:val="auto"/>
          <w:sz w:val="24"/>
          <w:szCs w:val="24"/>
        </w:rPr>
        <w:t xml:space="preserve">、账户信息：</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账户名：江苏海外集团国际工程咨询有限公司徐州分公司</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开户银行：上海浦东发展银行股份有限公司徐州分行</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账号：11110154740005866</w:t>
      </w:r>
      <w:r/>
    </w:p>
    <w:p>
      <w:pPr>
        <w:spacing w:line="40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第四章 评标标准</w:t>
      </w:r>
      <w:r/>
    </w:p>
    <w:tbl>
      <w:tblPr>
        <w:tblStyle w:val="7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7188"/>
      </w:tblGrid>
      <w:tr>
        <w:trPr>
          <w:jc w:val="center"/>
          <w:trHeight w:val="454"/>
        </w:trPr>
        <w:tc>
          <w:tcPr>
            <w:tcW w:w="778"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221"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849"/>
        </w:trPr>
        <w:tc>
          <w:tcPr>
            <w:tcW w:w="77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W w:w="4221" w:type="pct"/>
            <w:vAlign w:val="center"/>
            <w:textDirection w:val="lrTb"/>
            <w:noWrap w:val="false"/>
          </w:tcPr>
          <w:p>
            <w:pPr>
              <w:rPr>
                <w:rFonts w:hint="default" w:ascii="宋体" w:hAnsi="宋体" w:eastAsia="宋体" w:cs="宋体"/>
                <w:color w:val="auto"/>
                <w:sz w:val="24"/>
                <w:szCs w:val="24"/>
                <w:lang w:val="en-US"/>
              </w:rPr>
            </w:pPr>
            <w:r>
              <w:rPr>
                <w:rFonts w:hint="eastAsia" w:ascii="宋体" w:hAnsi="宋体" w:eastAsia="宋体" w:cs="宋体"/>
                <w:color w:val="auto"/>
                <w:sz w:val="24"/>
                <w:szCs w:val="24"/>
              </w:rPr>
              <w:t xml:space="preserve">各投标人价格得分=最低报价（投标人的最低评审价格）÷各投标人评审价格×</w:t>
            </w:r>
            <w:r>
              <w:rPr>
                <w:rFonts w:hint="eastAsia" w:ascii="宋体" w:hAnsi="宋体" w:cs="宋体"/>
                <w:color w:val="auto"/>
                <w:sz w:val="24"/>
                <w:szCs w:val="24"/>
                <w:lang w:val="en-US" w:eastAsia="zh-CN"/>
              </w:rPr>
              <w:t xml:space="preserve">15</w:t>
            </w:r>
            <w:r/>
          </w:p>
        </w:tc>
      </w:tr>
      <w:tr>
        <w:trPr>
          <w:jc w:val="center"/>
          <w:trHeight w:val="90"/>
        </w:trPr>
        <w:tc>
          <w:tcPr>
            <w:tcW w:w="77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投标人业绩（</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21"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投标文件中提供投标人为乙方，合同签订日期在202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月1日之后，</w:t>
            </w:r>
            <w:r>
              <w:rPr>
                <w:rFonts w:hint="eastAsia" w:ascii="宋体" w:hAnsi="宋体" w:cs="宋体"/>
                <w:color w:val="auto"/>
                <w:sz w:val="24"/>
                <w:szCs w:val="24"/>
                <w:lang w:val="en-US" w:eastAsia="zh-CN"/>
              </w:rPr>
              <w:t xml:space="preserve">具有与</w:t>
            </w:r>
            <w:r>
              <w:rPr>
                <w:rFonts w:hint="eastAsia" w:ascii="宋体" w:hAnsi="宋体" w:eastAsia="宋体" w:cs="宋体"/>
                <w:color w:val="auto"/>
                <w:sz w:val="24"/>
                <w:szCs w:val="24"/>
              </w:rPr>
              <w:t xml:space="preserve">本项目</w:t>
            </w:r>
            <w:r>
              <w:rPr>
                <w:rFonts w:hint="eastAsia" w:ascii="宋体" w:hAnsi="宋体" w:cs="宋体"/>
                <w:color w:val="auto"/>
                <w:sz w:val="24"/>
                <w:szCs w:val="24"/>
                <w:lang w:val="en-US" w:eastAsia="zh-CN"/>
              </w:rPr>
              <w:t xml:space="preserve">相同或类似项目</w:t>
            </w:r>
            <w:r>
              <w:rPr>
                <w:rFonts w:hint="eastAsia" w:ascii="宋体" w:hAnsi="宋体" w:eastAsia="宋体" w:cs="宋体"/>
                <w:color w:val="auto"/>
                <w:sz w:val="24"/>
                <w:szCs w:val="24"/>
              </w:rPr>
              <w:t xml:space="preserve">业绩</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，每份合同得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rPr>
                <w:rFonts w:hint="eastAsia" w:ascii="宋体" w:hAnsi="宋体" w:eastAsia="宋体" w:cs="宋体"/>
                <w:b/>
                <w:bCs/>
                <w:color w:val="auto"/>
                <w:sz w:val="24"/>
                <w:szCs w:val="24"/>
              </w:rPr>
            </w:pPr>
            <w:r>
              <w:rPr>
                <w:rFonts w:hint="eastAsia" w:ascii="宋体" w:hAnsi="宋体" w:cs="宋体"/>
                <w:b w:val="0"/>
                <w:bCs w:val="0"/>
                <w:color w:val="auto"/>
                <w:sz w:val="24"/>
                <w:szCs w:val="24"/>
                <w:lang w:val="en-US" w:eastAsia="zh-CN"/>
              </w:rPr>
              <w:t xml:space="preserve">注：</w:t>
            </w:r>
            <w:r>
              <w:rPr>
                <w:rFonts w:hint="eastAsia" w:ascii="宋体" w:hAnsi="宋体" w:eastAsia="宋体" w:cs="宋体"/>
                <w:b w:val="0"/>
                <w:bCs w:val="0"/>
                <w:color w:val="auto"/>
                <w:sz w:val="24"/>
                <w:szCs w:val="24"/>
              </w:rPr>
              <w:t xml:space="preserve">投标文件中提供业绩合同扫描件</w:t>
            </w:r>
            <w:r>
              <w:rPr>
                <w:rFonts w:hint="eastAsia" w:ascii="宋体" w:hAnsi="宋体" w:cs="宋体"/>
                <w:b w:val="0"/>
                <w:bCs w:val="0"/>
                <w:color w:val="auto"/>
                <w:sz w:val="24"/>
                <w:szCs w:val="24"/>
                <w:lang w:val="en-US" w:eastAsia="zh-CN"/>
              </w:rPr>
              <w:t xml:space="preserve">并加盖投标人电子签章</w:t>
            </w:r>
            <w:r>
              <w:rPr>
                <w:rFonts w:hint="eastAsia" w:ascii="宋体" w:hAnsi="宋体" w:eastAsia="宋体" w:cs="宋体"/>
                <w:b w:val="0"/>
                <w:bCs w:val="0"/>
                <w:color w:val="auto"/>
                <w:sz w:val="24"/>
                <w:szCs w:val="24"/>
              </w:rPr>
              <w:t xml:space="preserve">方为有效</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时间以合同签订时间为准，合同须能反映项目名称、主要标的物，签订时间和签章清晰可见，否则不予计分。</w:t>
            </w:r>
            <w:r/>
          </w:p>
        </w:tc>
      </w:tr>
      <w:tr>
        <w:trPr>
          <w:jc w:val="center"/>
          <w:trHeight w:val="1667"/>
        </w:trPr>
        <w:tc>
          <w:tcPr>
            <w:tcW w:w="77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w:t>
            </w:r>
            <w:r>
              <w:rPr>
                <w:rFonts w:hint="eastAsia" w:ascii="宋体" w:hAnsi="宋体" w:cs="宋体"/>
                <w:color w:val="auto"/>
                <w:sz w:val="24"/>
                <w:szCs w:val="24"/>
                <w:lang w:val="en-US" w:eastAsia="zh-CN"/>
              </w:rPr>
              <w:t xml:space="preserve">及服务</w:t>
            </w:r>
            <w:r>
              <w:rPr>
                <w:rFonts w:hint="eastAsia" w:ascii="宋体" w:hAnsi="宋体" w:eastAsia="宋体" w:cs="宋体"/>
                <w:color w:val="auto"/>
                <w:sz w:val="24"/>
                <w:szCs w:val="24"/>
              </w:rPr>
              <w:t xml:space="preserve">响应（</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w:t>
            </w:r>
            <w:r/>
          </w:p>
        </w:tc>
        <w:tc>
          <w:tcPr>
            <w:tcW w:w="4221" w:type="pct"/>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依据投标文件中偏离表内容对招标文件《第六章 采购需求》中“</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维保服务要求</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和“项目维保质量目标、服务安全承诺条款”</w:t>
            </w:r>
            <w:r>
              <w:rPr>
                <w:rFonts w:hint="eastAsia" w:ascii="宋体" w:hAnsi="宋体" w:eastAsia="宋体" w:cs="宋体"/>
                <w:color w:val="auto"/>
                <w:sz w:val="24"/>
                <w:szCs w:val="24"/>
              </w:rPr>
              <w:t xml:space="preserve">满足程度进行</w:t>
            </w:r>
            <w:r>
              <w:rPr>
                <w:rFonts w:hint="eastAsia" w:ascii="宋体" w:hAnsi="宋体" w:cs="宋体"/>
                <w:color w:val="auto"/>
                <w:sz w:val="24"/>
                <w:szCs w:val="24"/>
                <w:lang w:val="en-US" w:eastAsia="zh-CN"/>
              </w:rPr>
              <w:t xml:space="preserve">评价</w:t>
            </w:r>
            <w:r>
              <w:rPr>
                <w:rFonts w:hint="eastAsia" w:ascii="宋体" w:hAnsi="宋体" w:eastAsia="宋体" w:cs="宋体"/>
                <w:color w:val="auto"/>
                <w:sz w:val="24"/>
                <w:szCs w:val="24"/>
              </w:rPr>
              <w:t xml:space="preserve">。</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完全满足的得</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分，响应指标不满足或负偏离，每一项扣2分，</w:t>
            </w:r>
            <w:r>
              <w:rPr>
                <w:rFonts w:hint="eastAsia" w:ascii="宋体" w:hAnsi="宋体" w:cs="宋体"/>
                <w:color w:val="auto"/>
                <w:sz w:val="24"/>
                <w:szCs w:val="24"/>
                <w:lang w:val="en-US" w:eastAsia="zh-CN"/>
              </w:rPr>
              <w:t xml:space="preserve">扣完为止，</w:t>
            </w: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r>
      <w:tr>
        <w:trPr>
          <w:jc w:val="center"/>
          <w:trHeight w:val="811"/>
        </w:trPr>
        <w:tc>
          <w:tcPr>
            <w:tcW w:w="778"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人员配备（8分）</w:t>
            </w:r>
            <w:r/>
          </w:p>
        </w:tc>
        <w:tc>
          <w:tcPr>
            <w:tcW w:w="4221" w:type="pct"/>
            <w:vAlign w:val="center"/>
            <w:textDirection w:val="lrTb"/>
            <w:noWrap w:val="false"/>
          </w:tcPr>
          <w:p>
            <w:pPr>
              <w:pStyle w:val="722"/>
              <w:keepLines w:val="0"/>
              <w:keepNext w:val="0"/>
              <w:pageBreakBefore w:val="0"/>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根据投标文件中提供的人员配备情况，从人员配置合理性、可行性等方面进行评价。</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合理性（4分）：合理的得4分；较合理的得2分；不太合理的得1分。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针对性（4分)：针对性强得4分；针对性一般的得2分；欠缺针对性的得1分。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未提供的不得分。本项最高得8分，最低不得分。</w:t>
            </w:r>
            <w:r/>
          </w:p>
          <w:p>
            <w:pPr>
              <w:pStyle w:val="722"/>
              <w:keepLines w:val="0"/>
              <w:keepNext w:val="0"/>
              <w:pageBreakBefore w:val="0"/>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注：投标文件中提供相关人员证书以及投标人为其缴纳的社保证明材料，未提供此项不得分。</w:t>
            </w:r>
            <w:r/>
          </w:p>
        </w:tc>
      </w:tr>
      <w:tr>
        <w:trPr>
          <w:jc w:val="center"/>
          <w:trHeight w:val="811"/>
        </w:trPr>
        <w:tc>
          <w:tcPr>
            <w:tcW w:w="778"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日常维护方案（12分）</w:t>
            </w:r>
            <w:r/>
          </w:p>
        </w:tc>
        <w:tc>
          <w:tcPr>
            <w:tcW w:w="4221" w:type="pct"/>
            <w:vAlign w:val="center"/>
            <w:textDirection w:val="lrTb"/>
            <w:noWrap w:val="false"/>
          </w:tcPr>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根据投标文件中提供的日常维护方案进行评价，方案应包括但不限于维护服务流程、服务标准、服务管理、服务措施、重大故障处理等方面。</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全面性(4分)：全面具体详实得4分；较全面得2分；不太全面得1分。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针对性(4分)：针对性强得4分；针对性一般的得2分；欠缺针对性的得1分。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可行性（4分)：符合实际切实可行得4分；较切实可行得2分；可行性欠缺得1分。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未提供的不得分。本项最高得12分，最低不得分。</w:t>
            </w:r>
            <w:r/>
          </w:p>
        </w:tc>
      </w:tr>
      <w:tr>
        <w:trPr>
          <w:jc w:val="center"/>
          <w:trHeight w:val="322"/>
        </w:trPr>
        <w:tc>
          <w:tcPr>
            <w:tcW w:w="778"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质量保障措施（12分）</w:t>
            </w:r>
            <w:r/>
          </w:p>
        </w:tc>
        <w:tc>
          <w:tcPr>
            <w:tcW w:w="4221" w:type="pct"/>
            <w:vAlign w:val="center"/>
            <w:textDirection w:val="lrTb"/>
            <w:noWrap w:val="false"/>
          </w:tcPr>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根据投标文件中提供的质量保障措施进行评价，措施应包括但不限于仓储能力、备品备件保障、其他质量保障等。</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全面性(4分)：全面具体详实得4分；较全面得2分；不太全面得1分。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针对性(4分)：针对性强得4分；针对性一般的得2分；欠缺针对性的得1分。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可行性（4分)：符合实际切实可行得4分；较切实可行得2分；可行性欠缺得1分。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未提供的不得分。本项最高得12分，最低不得分。</w:t>
            </w:r>
            <w:r/>
          </w:p>
        </w:tc>
      </w:tr>
      <w:tr>
        <w:trPr>
          <w:jc w:val="center"/>
          <w:trHeight w:val="3159"/>
        </w:trPr>
        <w:tc>
          <w:tcPr>
            <w:tcW w:w="778"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售后服务及应急方案（15分）</w:t>
            </w:r>
            <w:r/>
          </w:p>
        </w:tc>
        <w:tc>
          <w:tcPr>
            <w:tcW w:w="4221" w:type="pct"/>
            <w:vAlign w:val="center"/>
            <w:textDirection w:val="lrTb"/>
            <w:noWrap w:val="false"/>
          </w:tcPr>
          <w:p>
            <w:pPr>
              <w:pStyle w:val="722"/>
              <w:keepLines w:val="0"/>
              <w:keepNext w:val="0"/>
              <w:pageBreakBefore w:val="0"/>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根据投标文件中提供的售后服务及应急方案进行评价，方案应包括但不限于售后服务内容、突发事件应急预案、应急抢修、应急响应、应急维护等。</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全面性(5分)：全面具体详实得5分；较全面得3分；不太全面得1分。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针对性(5分)：针对性强得5分；针对性一般的得3分；欠缺针对性的得1分。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可行性（5分)：符合实际切实可行得5分；较切实可行得3分；可行性欠缺得1分。</w:t>
            </w:r>
            <w:r/>
          </w:p>
          <w:p>
            <w:pPr>
              <w:pStyle w:val="722"/>
              <w:keepLines w:val="0"/>
              <w:keepNext w:val="0"/>
              <w:pageBreakBefore w:val="0"/>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未提供的不得分。本项最高得15分，最低不得分。</w:t>
            </w:r>
            <w:r/>
          </w:p>
        </w:tc>
      </w:tr>
      <w:tr>
        <w:trPr>
          <w:jc w:val="center"/>
          <w:trHeight w:val="811"/>
        </w:trPr>
        <w:tc>
          <w:tcPr>
            <w:tcW w:w="778"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培训方案（10分）</w:t>
            </w:r>
            <w:r/>
          </w:p>
        </w:tc>
        <w:tc>
          <w:tcPr>
            <w:tcW w:w="4221" w:type="pct"/>
            <w:vAlign w:val="center"/>
            <w:textDirection w:val="lrTb"/>
            <w:noWrap w:val="false"/>
          </w:tcPr>
          <w:p>
            <w:pPr>
              <w:pStyle w:val="722"/>
              <w:keepLines w:val="0"/>
              <w:keepNext w:val="0"/>
              <w:pageBreakBefore w:val="0"/>
              <w:widowControl w:val="off"/>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 xml:space="preserve">根据投标文件中提供的</w:t>
            </w:r>
            <w:r>
              <w:rPr>
                <w:rFonts w:hint="eastAsia" w:ascii="宋体" w:hAnsi="宋体" w:cs="宋体"/>
                <w:color w:val="auto"/>
                <w:sz w:val="24"/>
                <w:szCs w:val="24"/>
                <w:lang w:val="en-US" w:eastAsia="zh-CN"/>
              </w:rPr>
              <w:t xml:space="preserve">培训</w:t>
            </w:r>
            <w:r>
              <w:rPr>
                <w:rFonts w:hint="default" w:ascii="宋体" w:hAnsi="宋体" w:cs="宋体"/>
                <w:color w:val="auto"/>
                <w:sz w:val="24"/>
                <w:szCs w:val="24"/>
                <w:lang w:val="en-US" w:eastAsia="zh-CN"/>
              </w:rPr>
              <w:t xml:space="preserve">方案进行评价，方案应包括但不限于培训时间、计划、内容、目标、培训人员</w:t>
            </w:r>
            <w:r>
              <w:rPr>
                <w:rFonts w:hint="eastAsia" w:ascii="宋体" w:hAnsi="宋体" w:cs="宋体"/>
                <w:color w:val="auto"/>
                <w:sz w:val="24"/>
                <w:szCs w:val="24"/>
                <w:lang w:val="en-US" w:eastAsia="zh-CN"/>
              </w:rPr>
              <w:t xml:space="preserve">配置</w:t>
            </w:r>
            <w:r>
              <w:rPr>
                <w:rFonts w:hint="default" w:ascii="宋体" w:hAnsi="宋体" w:cs="宋体"/>
                <w:color w:val="auto"/>
                <w:sz w:val="24"/>
                <w:szCs w:val="24"/>
                <w:lang w:val="en-US" w:eastAsia="zh-CN"/>
              </w:rPr>
              <w:t xml:space="preserve">等。</w:t>
            </w:r>
            <w:r/>
          </w:p>
          <w:p>
            <w:pPr>
              <w:pStyle w:val="722"/>
              <w:keepLines w:val="0"/>
              <w:keepNext w:val="0"/>
              <w:pageBreakBefore w:val="0"/>
              <w:widowControl w:val="off"/>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 xml:space="preserve">针对性(</w:t>
            </w:r>
            <w:r>
              <w:rPr>
                <w:rFonts w:hint="eastAsia" w:ascii="宋体" w:hAnsi="宋体" w:cs="宋体"/>
                <w:color w:val="auto"/>
                <w:sz w:val="24"/>
                <w:szCs w:val="24"/>
                <w:lang w:val="en-US" w:eastAsia="zh-CN"/>
              </w:rPr>
              <w:t xml:space="preserve">5</w:t>
            </w:r>
            <w:r>
              <w:rPr>
                <w:rFonts w:hint="default" w:ascii="宋体" w:hAnsi="宋体" w:cs="宋体"/>
                <w:color w:val="auto"/>
                <w:sz w:val="24"/>
                <w:szCs w:val="24"/>
                <w:lang w:val="en-US" w:eastAsia="zh-CN"/>
              </w:rPr>
              <w:t xml:space="preserve">分)：针对性强得</w:t>
            </w:r>
            <w:r>
              <w:rPr>
                <w:rFonts w:hint="eastAsia" w:ascii="宋体" w:hAnsi="宋体" w:cs="宋体"/>
                <w:color w:val="auto"/>
                <w:sz w:val="24"/>
                <w:szCs w:val="24"/>
                <w:lang w:val="en-US" w:eastAsia="zh-CN"/>
              </w:rPr>
              <w:t xml:space="preserve">5</w:t>
            </w:r>
            <w:r>
              <w:rPr>
                <w:rFonts w:hint="default" w:ascii="宋体" w:hAnsi="宋体" w:cs="宋体"/>
                <w:color w:val="auto"/>
                <w:sz w:val="24"/>
                <w:szCs w:val="24"/>
                <w:lang w:val="en-US" w:eastAsia="zh-CN"/>
              </w:rPr>
              <w:t xml:space="preserve">分；针对性一般的得</w:t>
            </w:r>
            <w:r>
              <w:rPr>
                <w:rFonts w:hint="eastAsia" w:ascii="宋体" w:hAnsi="宋体" w:cs="宋体"/>
                <w:color w:val="auto"/>
                <w:sz w:val="24"/>
                <w:szCs w:val="24"/>
                <w:lang w:val="en-US" w:eastAsia="zh-CN"/>
              </w:rPr>
              <w:t xml:space="preserve">3</w:t>
            </w:r>
            <w:r>
              <w:rPr>
                <w:rFonts w:hint="default" w:ascii="宋体" w:hAnsi="宋体" w:cs="宋体"/>
                <w:color w:val="auto"/>
                <w:sz w:val="24"/>
                <w:szCs w:val="24"/>
                <w:lang w:val="en-US" w:eastAsia="zh-CN"/>
              </w:rPr>
              <w:t xml:space="preserve">分；欠缺针对性的得1分。</w:t>
            </w:r>
            <w:r/>
          </w:p>
          <w:p>
            <w:pPr>
              <w:pStyle w:val="722"/>
              <w:keepLines w:val="0"/>
              <w:keepNext w:val="0"/>
              <w:pageBreakBefore w:val="0"/>
              <w:widowControl w:val="off"/>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 xml:space="preserve">可行性（</w:t>
            </w:r>
            <w:r>
              <w:rPr>
                <w:rFonts w:hint="eastAsia" w:ascii="宋体" w:hAnsi="宋体" w:cs="宋体"/>
                <w:color w:val="auto"/>
                <w:sz w:val="24"/>
                <w:szCs w:val="24"/>
                <w:lang w:val="en-US" w:eastAsia="zh-CN"/>
              </w:rPr>
              <w:t xml:space="preserve">5</w:t>
            </w:r>
            <w:r>
              <w:rPr>
                <w:rFonts w:hint="default" w:ascii="宋体" w:hAnsi="宋体" w:cs="宋体"/>
                <w:color w:val="auto"/>
                <w:sz w:val="24"/>
                <w:szCs w:val="24"/>
                <w:lang w:val="en-US" w:eastAsia="zh-CN"/>
              </w:rPr>
              <w:t xml:space="preserve">分)：符合实际切实可行得</w:t>
            </w:r>
            <w:r>
              <w:rPr>
                <w:rFonts w:hint="eastAsia" w:ascii="宋体" w:hAnsi="宋体" w:cs="宋体"/>
                <w:color w:val="auto"/>
                <w:sz w:val="24"/>
                <w:szCs w:val="24"/>
                <w:lang w:val="en-US" w:eastAsia="zh-CN"/>
              </w:rPr>
              <w:t xml:space="preserve">5</w:t>
            </w:r>
            <w:r>
              <w:rPr>
                <w:rFonts w:hint="default" w:ascii="宋体" w:hAnsi="宋体" w:cs="宋体"/>
                <w:color w:val="auto"/>
                <w:sz w:val="24"/>
                <w:szCs w:val="24"/>
                <w:lang w:val="en-US" w:eastAsia="zh-CN"/>
              </w:rPr>
              <w:t xml:space="preserve">分；较切实可行得</w:t>
            </w:r>
            <w:r>
              <w:rPr>
                <w:rFonts w:hint="eastAsia" w:ascii="宋体" w:hAnsi="宋体" w:cs="宋体"/>
                <w:color w:val="auto"/>
                <w:sz w:val="24"/>
                <w:szCs w:val="24"/>
                <w:lang w:val="en-US" w:eastAsia="zh-CN"/>
              </w:rPr>
              <w:t xml:space="preserve">3</w:t>
            </w:r>
            <w:r>
              <w:rPr>
                <w:rFonts w:hint="default" w:ascii="宋体" w:hAnsi="宋体" w:cs="宋体"/>
                <w:color w:val="auto"/>
                <w:sz w:val="24"/>
                <w:szCs w:val="24"/>
                <w:lang w:val="en-US" w:eastAsia="zh-CN"/>
              </w:rPr>
              <w:t xml:space="preserve">分；可行性欠缺得1分。</w:t>
            </w:r>
            <w:r/>
          </w:p>
          <w:p>
            <w:pPr>
              <w:pStyle w:val="722"/>
              <w:keepLines w:val="0"/>
              <w:keepNext w:val="0"/>
              <w:pageBreakBefore w:val="0"/>
              <w:widowControl w:val="off"/>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t xml:space="preserve">未提供的不得分。本项最高得</w:t>
            </w:r>
            <w:r>
              <w:rPr>
                <w:rFonts w:hint="eastAsia" w:ascii="宋体" w:hAnsi="宋体" w:cs="宋体"/>
                <w:color w:val="auto"/>
                <w:sz w:val="24"/>
                <w:szCs w:val="24"/>
                <w:lang w:val="en-US" w:eastAsia="zh-CN"/>
              </w:rPr>
              <w:t xml:space="preserve">10</w:t>
            </w:r>
            <w:r>
              <w:rPr>
                <w:rFonts w:hint="default" w:ascii="宋体" w:hAnsi="宋体" w:cs="宋体"/>
                <w:color w:val="auto"/>
                <w:sz w:val="24"/>
                <w:szCs w:val="24"/>
                <w:lang w:val="en-US" w:eastAsia="zh-CN"/>
              </w:rPr>
              <w:t xml:space="preserve">分，最低不得分。</w:t>
            </w:r>
            <w:r/>
          </w:p>
        </w:tc>
      </w:tr>
    </w:tbl>
    <w:p>
      <w:pPr>
        <w:ind w:firstLine="600"/>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pStyle w:val="925"/>
        <w:rPr>
          <w:rFonts w:hint="eastAsia" w:ascii="宋体" w:hAnsi="宋体" w:cs="宋体"/>
          <w:sz w:val="28"/>
          <w:szCs w:val="28"/>
        </w:rPr>
      </w:pPr>
      <w:r>
        <w:rPr>
          <w:rFonts w:hint="eastAsia" w:ascii="宋体" w:hAnsi="宋体" w:cs="宋体"/>
          <w:sz w:val="28"/>
          <w:szCs w:val="28"/>
        </w:rPr>
        <w:t xml:space="preserve">项目名称：</w:t>
      </w:r>
      <w:r/>
    </w:p>
    <w:p>
      <w:pPr>
        <w:pStyle w:val="925"/>
        <w:rPr>
          <w:rFonts w:hint="eastAsia" w:ascii="宋体" w:hAnsi="宋体" w:cs="宋体"/>
          <w:sz w:val="28"/>
          <w:szCs w:val="28"/>
        </w:rPr>
      </w:pPr>
      <w:r>
        <w:rPr>
          <w:rFonts w:hint="eastAsia" w:ascii="宋体" w:hAnsi="宋体" w:cs="宋体"/>
          <w:sz w:val="28"/>
          <w:szCs w:val="28"/>
        </w:rPr>
        <w:t xml:space="preserve">项目编号：</w:t>
      </w:r>
      <w:r/>
    </w:p>
    <w:p>
      <w:pPr>
        <w:pStyle w:val="925"/>
        <w:jc w:val="center"/>
        <w:rPr>
          <w:rFonts w:hint="eastAsia" w:ascii="宋体" w:hAnsi="宋体" w:cs="宋体"/>
          <w:sz w:val="72"/>
          <w:szCs w:val="72"/>
        </w:rPr>
      </w:pPr>
      <w:r>
        <w:rPr>
          <w:rFonts w:hint="eastAsia" w:ascii="宋体" w:hAnsi="宋体" w:cs="宋体"/>
          <w:sz w:val="72"/>
          <w:szCs w:val="72"/>
        </w:rPr>
      </w:r>
      <w:r/>
    </w:p>
    <w:p>
      <w:pPr>
        <w:pStyle w:val="925"/>
        <w:jc w:val="center"/>
        <w:rPr>
          <w:rFonts w:hint="eastAsia" w:ascii="宋体" w:hAnsi="宋体" w:cs="宋体"/>
          <w:sz w:val="72"/>
          <w:szCs w:val="72"/>
        </w:rPr>
      </w:pPr>
      <w:r>
        <w:rPr>
          <w:rFonts w:hint="eastAsia" w:ascii="宋体" w:hAnsi="宋体" w:cs="宋体"/>
          <w:sz w:val="72"/>
          <w:szCs w:val="72"/>
        </w:rPr>
        <w:t xml:space="preserve">合</w:t>
      </w:r>
      <w:r/>
    </w:p>
    <w:p>
      <w:pPr>
        <w:pStyle w:val="925"/>
        <w:jc w:val="center"/>
        <w:rPr>
          <w:rFonts w:hint="eastAsia" w:ascii="宋体" w:hAnsi="宋体" w:cs="宋体"/>
          <w:sz w:val="72"/>
          <w:szCs w:val="72"/>
        </w:rPr>
      </w:pPr>
      <w:r>
        <w:rPr>
          <w:rFonts w:hint="eastAsia" w:ascii="宋体" w:hAnsi="宋体" w:cs="宋体"/>
          <w:sz w:val="72"/>
          <w:szCs w:val="72"/>
        </w:rPr>
      </w:r>
      <w:r/>
    </w:p>
    <w:p>
      <w:pPr>
        <w:pStyle w:val="925"/>
        <w:jc w:val="both"/>
        <w:rPr>
          <w:rFonts w:hint="eastAsia" w:ascii="宋体" w:hAnsi="宋体" w:cs="宋体"/>
          <w:sz w:val="72"/>
          <w:szCs w:val="72"/>
        </w:rPr>
      </w:pPr>
      <w:r>
        <w:rPr>
          <w:rFonts w:hint="eastAsia" w:ascii="宋体" w:hAnsi="宋体" w:cs="宋体"/>
          <w:sz w:val="72"/>
          <w:szCs w:val="72"/>
        </w:rPr>
      </w:r>
      <w:r/>
    </w:p>
    <w:p>
      <w:pPr>
        <w:pStyle w:val="925"/>
        <w:jc w:val="center"/>
        <w:rPr>
          <w:rFonts w:hint="eastAsia" w:ascii="宋体" w:hAnsi="宋体" w:cs="宋体"/>
          <w:sz w:val="72"/>
          <w:szCs w:val="72"/>
        </w:rPr>
      </w:pPr>
      <w:r>
        <w:rPr>
          <w:rFonts w:hint="eastAsia" w:ascii="宋体" w:hAnsi="宋体" w:cs="宋体"/>
          <w:sz w:val="72"/>
          <w:szCs w:val="72"/>
        </w:rPr>
        <w:t xml:space="preserve">同</w:t>
      </w:r>
      <w:r/>
    </w:p>
    <w:p>
      <w:pPr>
        <w:pStyle w:val="925"/>
        <w:rPr>
          <w:rFonts w:hint="eastAsia" w:ascii="宋体" w:hAnsi="宋体" w:cs="宋体"/>
        </w:rPr>
      </w:pPr>
      <w:r>
        <w:rPr>
          <w:rFonts w:hint="eastAsia" w:ascii="宋体" w:hAnsi="宋体" w:cs="宋体"/>
        </w:rPr>
      </w:r>
      <w:r/>
    </w:p>
    <w:p>
      <w:pPr>
        <w:pStyle w:val="925"/>
        <w:rPr>
          <w:rFonts w:hint="eastAsia" w:ascii="宋体" w:hAnsi="宋体" w:cs="宋体"/>
        </w:rPr>
      </w:pPr>
      <w:r>
        <w:rPr>
          <w:rFonts w:hint="eastAsia" w:ascii="宋体" w:hAnsi="宋体" w:cs="宋体"/>
        </w:rPr>
      </w:r>
      <w:r/>
    </w:p>
    <w:p>
      <w:pPr>
        <w:pStyle w:val="925"/>
        <w:rPr>
          <w:rFonts w:hint="eastAsia" w:ascii="宋体" w:hAnsi="宋体" w:cs="宋体"/>
        </w:rPr>
      </w:pPr>
      <w:r>
        <w:rPr>
          <w:rFonts w:hint="eastAsia" w:ascii="宋体" w:hAnsi="宋体" w:cs="宋体"/>
        </w:rPr>
      </w:r>
      <w:r/>
    </w:p>
    <w:p>
      <w:pPr>
        <w:pStyle w:val="925"/>
        <w:jc w:val="left"/>
        <w:spacing w:line="360" w:lineRule="auto"/>
        <w:rPr>
          <w:rFonts w:hint="eastAsia" w:ascii="宋体" w:hAnsi="宋体" w:cs="宋体"/>
          <w:sz w:val="28"/>
          <w:szCs w:val="28"/>
        </w:rPr>
      </w:pPr>
      <w:r>
        <w:rPr>
          <w:rFonts w:hint="eastAsia" w:ascii="宋体" w:hAnsi="宋体" w:cs="宋体"/>
          <w:sz w:val="28"/>
          <w:szCs w:val="28"/>
        </w:rPr>
        <w:t xml:space="preserve">采购人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甲方</w:t>
      </w:r>
      <w:r>
        <w:rPr>
          <w:rFonts w:hint="eastAsia" w:ascii="宋体" w:hAnsi="宋体" w:cs="宋体"/>
          <w:sz w:val="28"/>
          <w:szCs w:val="28"/>
          <w:lang w:eastAsia="zh-CN"/>
        </w:rPr>
        <w:t xml:space="preserve">）</w:t>
      </w:r>
      <w:r>
        <w:rPr>
          <w:rFonts w:hint="eastAsia" w:ascii="宋体" w:hAnsi="宋体" w:cs="宋体"/>
          <w:sz w:val="28"/>
          <w:szCs w:val="28"/>
        </w:rPr>
        <w:t xml:space="preserve">：</w:t>
      </w:r>
      <w:r/>
    </w:p>
    <w:p>
      <w:pPr>
        <w:pStyle w:val="925"/>
        <w:jc w:val="left"/>
        <w:spacing w:line="360" w:lineRule="auto"/>
        <w:rPr>
          <w:rFonts w:hint="eastAsia" w:ascii="宋体" w:hAnsi="宋体" w:cs="宋体"/>
          <w:sz w:val="28"/>
          <w:szCs w:val="28"/>
        </w:rPr>
      </w:pPr>
      <w:r>
        <w:rPr>
          <w:rFonts w:hint="eastAsia" w:ascii="宋体" w:hAnsi="宋体" w:cs="宋体"/>
          <w:sz w:val="28"/>
          <w:szCs w:val="28"/>
          <w:lang w:val="en-US" w:eastAsia="zh-CN"/>
        </w:rPr>
        <w:t xml:space="preserve">中标人（乙方）</w:t>
      </w:r>
      <w:r>
        <w:rPr>
          <w:rFonts w:hint="eastAsia" w:ascii="宋体" w:hAnsi="宋体" w:cs="宋体"/>
          <w:sz w:val="28"/>
          <w:szCs w:val="28"/>
        </w:rPr>
        <w:t xml:space="preserve">：</w:t>
      </w:r>
      <w:r/>
    </w:p>
    <w:p>
      <w:pPr>
        <w:pStyle w:val="925"/>
        <w:jc w:val="left"/>
        <w:spacing w:line="360" w:lineRule="auto"/>
        <w:rPr>
          <w:rFonts w:hint="eastAsia" w:ascii="宋体" w:hAnsi="宋体" w:cs="宋体"/>
          <w:sz w:val="28"/>
          <w:szCs w:val="28"/>
        </w:rPr>
      </w:pPr>
      <w:r>
        <w:rPr>
          <w:rFonts w:hint="eastAsia" w:ascii="宋体" w:hAnsi="宋体" w:cs="宋体"/>
          <w:sz w:val="28"/>
          <w:szCs w:val="28"/>
        </w:rPr>
        <w:t xml:space="preserve">合同签订日期：</w:t>
      </w:r>
      <w:r>
        <w:rPr>
          <w:rFonts w:hint="eastAsia" w:ascii="宋体" w:hAnsi="宋体" w:cs="宋体"/>
          <w:sz w:val="28"/>
          <w:szCs w:val="28"/>
          <w:lang w:val="en-US" w:eastAsia="zh-CN"/>
        </w:rPr>
        <w:t xml:space="preserve">  </w:t>
      </w:r>
      <w:r>
        <w:rPr>
          <w:rFonts w:hint="eastAsia" w:ascii="宋体" w:hAnsi="宋体" w:cs="宋体"/>
          <w:sz w:val="28"/>
          <w:szCs w:val="28"/>
        </w:rPr>
        <w:t xml:space="preserve">年</w:t>
      </w:r>
      <w:r>
        <w:rPr>
          <w:rFonts w:hint="eastAsia" w:ascii="宋体" w:hAnsi="宋体" w:cs="宋体"/>
          <w:sz w:val="28"/>
          <w:szCs w:val="28"/>
          <w:lang w:val="en-US" w:eastAsia="zh-CN"/>
        </w:rPr>
        <w:t xml:space="preserve">  </w:t>
      </w:r>
      <w:r>
        <w:rPr>
          <w:rFonts w:hint="eastAsia" w:ascii="宋体" w:hAnsi="宋体" w:cs="宋体"/>
          <w:sz w:val="28"/>
          <w:szCs w:val="28"/>
        </w:rPr>
        <w:t xml:space="preserve">月</w:t>
      </w:r>
      <w:r>
        <w:rPr>
          <w:rFonts w:hint="eastAsia" w:ascii="宋体" w:hAnsi="宋体" w:cs="宋体"/>
          <w:sz w:val="28"/>
          <w:szCs w:val="28"/>
          <w:lang w:val="en-US" w:eastAsia="zh-CN"/>
        </w:rPr>
        <w:t xml:space="preserve">  </w:t>
      </w:r>
      <w:r>
        <w:rPr>
          <w:rFonts w:hint="eastAsia" w:ascii="宋体" w:hAnsi="宋体" w:cs="宋体"/>
          <w:sz w:val="28"/>
          <w:szCs w:val="28"/>
        </w:rPr>
        <w:t xml:space="preserve">日</w:t>
      </w:r>
      <w:r/>
    </w:p>
    <w:p>
      <w:pPr>
        <w:ind w:firstLine="560"/>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友情提醒：采购人与中标供应商应当在中标通知书发出之日起三十日内，按照采购文件确定的事项签订政府采购合同。</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eastAsia="宋体" w:cs="宋体"/>
          <w:color w:val="000000"/>
          <w:sz w:val="24"/>
        </w:rPr>
      </w:r>
      <w:r/>
    </w:p>
    <w:p>
      <w:pPr>
        <w:ind w:right="0"/>
        <w:jc w:val="center"/>
        <w:spacing w:before="0" w:after="0" w:line="85" w:lineRule="atLeast"/>
        <w:rPr>
          <w:rFonts w:hint="default"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徐州市中心医院</w:t>
      </w:r>
      <w:r>
        <w:rPr>
          <w:rFonts w:hint="eastAsia" w:ascii="宋体" w:hAnsi="宋体" w:eastAsia="宋体" w:cs="宋体"/>
          <w:b/>
          <w:bCs/>
          <w:color w:val="000000"/>
          <w:sz w:val="32"/>
          <w:szCs w:val="32"/>
        </w:rPr>
        <w:t xml:space="preserve">内窥镜中心内窥镜维保</w:t>
      </w:r>
      <w:r>
        <w:rPr>
          <w:rFonts w:hint="eastAsia" w:ascii="宋体" w:hAnsi="宋体" w:eastAsia="宋体" w:cs="宋体"/>
          <w:b/>
          <w:bCs/>
          <w:color w:val="000000"/>
          <w:sz w:val="32"/>
          <w:szCs w:val="32"/>
          <w:lang w:val="en-US" w:eastAsia="zh-CN"/>
        </w:rPr>
        <w:t xml:space="preserve">项目合同</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合同编号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tab/>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甲乙双方经过平等协商，达成本服务合同（以下简称“合同”）。合同内容包括具体条款、附件及合同中提及的其他文件。</w:t>
      </w:r>
      <w:r/>
    </w:p>
    <w:p>
      <w:pPr>
        <w:numPr>
          <w:ilvl w:val="0"/>
          <w:numId w:val="0"/>
        </w:numPr>
        <w:jc w:val="both"/>
        <w:spacing w:before="0" w:after="0" w:line="360" w:lineRule="auto"/>
        <w:tabs>
          <w:tab w:val="left" w:pos="31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维修服务所保设备：</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设备类型及有效期：</w:t>
      </w:r>
      <w:r/>
    </w:p>
    <w:tbl>
      <w:tblPr>
        <w:tblStyle w:val="733"/>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终止日期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（二）</w:t>
      </w:r>
      <w:r>
        <w:rPr>
          <w:rFonts w:ascii="宋体" w:hAnsi="宋体" w:eastAsia="宋体" w:cs="宋体"/>
          <w:color w:val="000000"/>
          <w:sz w:val="24"/>
          <w:szCs w:val="24"/>
        </w:rPr>
        <w:t xml:space="preserve">附加设备系统/服务：</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乙方仅对以上列明的设备及附加设备系统/服务（以下简称“机器”）予以保修。</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二、</w:t>
      </w:r>
      <w:r>
        <w:rPr>
          <w:rFonts w:ascii="宋体" w:hAnsi="宋体" w:eastAsia="宋体" w:cs="宋体"/>
          <w:color w:val="000000"/>
          <w:sz w:val="24"/>
          <w:szCs w:val="24"/>
        </w:rPr>
        <w:t xml:space="preserve">服务类别：</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乙方提供的合同服务类别为：标准型维修服务合同。</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响应时间：乙方应在收到甲方固定电话拨打</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，移动电话拨打</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电话后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小时内响应。</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维修时间：</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，国家法定假日除外。</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三、</w:t>
      </w:r>
      <w:r>
        <w:rPr>
          <w:rFonts w:ascii="宋体" w:hAnsi="宋体" w:eastAsia="宋体" w:cs="宋体"/>
          <w:color w:val="000000"/>
          <w:sz w:val="24"/>
          <w:szCs w:val="24"/>
        </w:rPr>
        <w:t xml:space="preserve">乙方的责任：</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（一）</w:t>
      </w:r>
      <w:r>
        <w:rPr>
          <w:rFonts w:ascii="宋体" w:hAnsi="宋体" w:eastAsia="宋体" w:cs="宋体"/>
          <w:color w:val="000000"/>
          <w:sz w:val="24"/>
          <w:szCs w:val="24"/>
        </w:rPr>
        <w:t xml:space="preserve">定期保养：乙方每年提供</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（二）</w:t>
      </w:r>
      <w:r>
        <w:rPr>
          <w:rFonts w:ascii="宋体" w:hAnsi="宋体" w:eastAsia="宋体" w:cs="宋体"/>
          <w:color w:val="000000"/>
          <w:sz w:val="24"/>
          <w:szCs w:val="24"/>
        </w:rPr>
        <w:t xml:space="preserve">乙方提供现场措施。</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（三）</w:t>
      </w:r>
      <w:r>
        <w:rPr>
          <w:rFonts w:ascii="宋体" w:hAnsi="宋体" w:eastAsia="宋体" w:cs="宋体"/>
          <w:color w:val="000000"/>
          <w:sz w:val="24"/>
          <w:szCs w:val="24"/>
        </w:rPr>
        <w:t xml:space="preserve">乙方为甲方提供在线支持、现场检修及零备件更换。</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在线支持，协助甲方的工程师分析和维修有关设备。电话支援在甲方拨打维修热线后提供：</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维修热线，乙方资深工程师在线技术支持，答疑，即时诊断机器故障，制定维修方案。</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现场检修，乙方在接到甲方报修电话后派遣工程师前往维修有关设备。工程师最多不超</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小时到达现场。原厂认证合格的专业工程师或原厂培训的特约维修队伍将提供快速优质的现场服务。</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零备件更换：在合同有效期内，本合同服务范围内的机器进行约定维修所发生的费用（相关零部件费，乙方人工费和出差费等），由乙方承担。</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（四）</w:t>
      </w:r>
      <w:r>
        <w:rPr>
          <w:rFonts w:ascii="宋体" w:hAnsi="宋体" w:eastAsia="宋体" w:cs="宋体"/>
          <w:color w:val="000000"/>
          <w:sz w:val="24"/>
          <w:szCs w:val="24"/>
        </w:rPr>
        <w:t xml:space="preserve">乙方承诺提供的其他服务</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四、</w:t>
      </w:r>
      <w:r>
        <w:rPr>
          <w:rFonts w:ascii="宋体" w:hAnsi="宋体" w:eastAsia="宋体" w:cs="宋体"/>
          <w:color w:val="000000"/>
          <w:sz w:val="24"/>
          <w:szCs w:val="24"/>
        </w:rPr>
        <w:t xml:space="preserve">甲方的责任：</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甲方应按机器使用手册的要求进行操作及日常维护，并保证机器所需电源、气源的正常供应及开启和关闭。由于甲方原因造成设备不能正常运转或无法提供维修，乙方不承担保修责任。</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甲方应按合同约定的方式按时向乙方支付维修服务费用。</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ascii="宋体" w:hAnsi="宋体" w:eastAsia="宋体" w:cs="宋体"/>
          <w:color w:val="000000"/>
          <w:sz w:val="24"/>
          <w:szCs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rPr>
        <w:t xml:space="preserve">本次合同服务相关的化学品以及产生的相关废物，甲方应按照国家相关法律法规要求进行管理和处置。</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ascii="宋体" w:hAnsi="宋体" w:eastAsia="宋体" w:cs="宋体"/>
          <w:color w:val="000000"/>
          <w:sz w:val="24"/>
          <w:szCs w:val="24"/>
        </w:rPr>
        <w:t xml:space="preserve">若续签保修合同时已超过上一次保修结束日期3个月以上，该机器需完成乙方的质量检测后方可进保。</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ascii="宋体" w:hAnsi="宋体" w:eastAsia="宋体" w:cs="宋体"/>
          <w:color w:val="000000"/>
          <w:sz w:val="24"/>
          <w:szCs w:val="24"/>
        </w:rPr>
        <w:t xml:space="preserve">对于合同项目下的零备件，如无特殊说明甲方需在更换后将原备件退还给乙方。</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ascii="宋体" w:hAnsi="宋体" w:eastAsia="宋体" w:cs="宋体"/>
          <w:color w:val="000000"/>
          <w:sz w:val="24"/>
          <w:szCs w:val="24"/>
        </w:rPr>
        <w:t xml:space="preserve">甲方接受以电子签名方式对乙方服务予以确认。</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五、</w:t>
      </w:r>
      <w:r>
        <w:rPr>
          <w:rFonts w:ascii="宋体" w:hAnsi="宋体" w:eastAsia="宋体" w:cs="宋体"/>
          <w:color w:val="000000"/>
          <w:sz w:val="24"/>
          <w:szCs w:val="24"/>
        </w:rPr>
        <w:t xml:space="preserve">合同总价款：</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1、二</w:t>
      </w:r>
      <w:r>
        <w:rPr>
          <w:rFonts w:ascii="宋体" w:hAnsi="宋体" w:eastAsia="宋体" w:cs="宋体"/>
          <w:color w:val="000000"/>
          <w:sz w:val="24"/>
          <w:szCs w:val="24"/>
        </w:rPr>
        <w:t xml:space="preserve">年服务费总价（人民币）：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元；（大写）：</w:t>
      </w:r>
      <w:r>
        <w:rPr>
          <w:rFonts w:ascii="宋体" w:hAnsi="宋体" w:eastAsia="宋体" w:cs="宋体"/>
          <w:color w:val="000000"/>
          <w:sz w:val="24"/>
          <w:szCs w:val="24"/>
          <w:u w:val="single"/>
        </w:rPr>
        <w:t xml:space="preserve">   </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每年服务费（人民币）：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元；（大写）：</w:t>
      </w:r>
      <w:r>
        <w:rPr>
          <w:rFonts w:ascii="宋体" w:hAnsi="宋体" w:eastAsia="宋体" w:cs="宋体"/>
          <w:color w:val="000000"/>
          <w:sz w:val="24"/>
          <w:szCs w:val="24"/>
          <w:u w:val="single"/>
        </w:rPr>
        <w:t xml:space="preserve">   </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六、</w:t>
      </w:r>
      <w:r>
        <w:rPr>
          <w:rFonts w:ascii="宋体" w:hAnsi="宋体" w:eastAsia="宋体" w:cs="宋体"/>
          <w:color w:val="000000"/>
          <w:sz w:val="24"/>
          <w:szCs w:val="24"/>
        </w:rPr>
        <w:t xml:space="preserve">付款方式：</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经双方协商一致，选择以下第</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种付款方式：</w:t>
      </w:r>
      <w:r/>
    </w:p>
    <w:p>
      <w:pPr>
        <w:ind w:left="0" w:right="0" w:firstLine="480"/>
        <w:jc w:val="both"/>
        <w:spacing w:before="0" w:after="0" w:line="360" w:lineRule="auto"/>
        <w:rPr>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（一）</w:t>
      </w:r>
      <w:r>
        <w:rPr>
          <w:rFonts w:ascii="宋体" w:hAnsi="宋体" w:eastAsia="宋体" w:cs="宋体"/>
          <w:b/>
          <w:bCs/>
          <w:color w:val="000000"/>
          <w:sz w:val="24"/>
          <w:szCs w:val="24"/>
        </w:rPr>
        <w:t xml:space="preserve">付款方式一：（提交预付款保函的）</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第一年合同价款的百分之三十（30%），即￥</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360" w:lineRule="auto"/>
        <w:rPr>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（二）</w:t>
      </w:r>
      <w:r>
        <w:rPr>
          <w:rFonts w:ascii="宋体" w:hAnsi="宋体" w:eastAsia="宋体" w:cs="宋体"/>
          <w:b/>
          <w:bCs/>
          <w:color w:val="000000"/>
          <w:sz w:val="24"/>
          <w:szCs w:val="24"/>
        </w:rPr>
        <w:t xml:space="preserve">付款方式二：（不提交预付款保函的）</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第一年合同价款的百分之三十（30%），即￥</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；大写：人民币</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360" w:lineRule="auto"/>
        <w:rPr>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（三）</w:t>
      </w:r>
      <w:r>
        <w:rPr>
          <w:rFonts w:ascii="宋体" w:hAnsi="宋体" w:eastAsia="宋体" w:cs="宋体"/>
          <w:b/>
          <w:bCs/>
          <w:color w:val="000000"/>
          <w:sz w:val="24"/>
          <w:szCs w:val="24"/>
        </w:rPr>
        <w:t xml:space="preserve">付款方式</w:t>
      </w:r>
      <w:r>
        <w:rPr>
          <w:rFonts w:hint="eastAsia" w:ascii="宋体" w:hAnsi="宋体" w:cs="宋体"/>
          <w:b/>
          <w:bCs/>
          <w:color w:val="000000"/>
          <w:sz w:val="24"/>
          <w:szCs w:val="24"/>
          <w:lang w:eastAsia="zh-CN"/>
        </w:rPr>
        <w:t xml:space="preserve">三</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rPr>
        <w:t xml:space="preserve">乙方明确表示无需预付款的</w:t>
      </w:r>
      <w:r>
        <w:rPr>
          <w:rFonts w:ascii="宋体" w:hAnsi="宋体" w:eastAsia="宋体" w:cs="宋体"/>
          <w:b/>
          <w:bCs/>
          <w:color w:val="000000"/>
          <w:sz w:val="24"/>
          <w:szCs w:val="24"/>
        </w:rPr>
        <w:t xml:space="preserve">）</w:t>
      </w:r>
      <w:r/>
    </w:p>
    <w:p>
      <w:pPr>
        <w:ind w:left="0" w:right="0" w:firstLine="480"/>
        <w:jc w:val="both"/>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（注：此条符合苏财购〔2020〕52号文件要求）</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合同约定的乙方账户：</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开户银行：</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银行帐号：</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七、</w:t>
      </w:r>
      <w:r>
        <w:rPr>
          <w:rFonts w:ascii="宋体" w:hAnsi="宋体" w:eastAsia="宋体" w:cs="宋体"/>
          <w:color w:val="000000"/>
          <w:sz w:val="24"/>
          <w:szCs w:val="24"/>
        </w:rPr>
        <w:t xml:space="preserve">合同的变更和转让：</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八、</w:t>
      </w:r>
      <w:r>
        <w:rPr>
          <w:rFonts w:ascii="宋体" w:hAnsi="宋体" w:eastAsia="宋体" w:cs="宋体"/>
          <w:color w:val="000000"/>
          <w:sz w:val="24"/>
          <w:szCs w:val="24"/>
        </w:rPr>
        <w:t xml:space="preserve">豁免及限制：</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（一）</w:t>
      </w:r>
      <w:r>
        <w:rPr>
          <w:rFonts w:ascii="宋体" w:hAnsi="宋体" w:eastAsia="宋体" w:cs="宋体"/>
          <w:color w:val="000000"/>
          <w:sz w:val="24"/>
          <w:szCs w:val="24"/>
        </w:rPr>
        <w:t xml:space="preserve">本合同不包括下列服务项目（甲方如果要求乙方提供下列服务，则按照乙方“付费维修服务”计费）</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机器或部分拆检、翻修、重装、迁移、搬动及相应的费用及保险费用。</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非乙方指派或甲方请第三方修理调整机器、换装零件、改装机器及配件，或其它乙方不能控制的任何原因所造成机器损坏而需乙方维护者。</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甲方或其代表未遵照保养及操作手册上的程序所进行操作所引起的设备故障。</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（二）</w:t>
      </w:r>
      <w:r>
        <w:rPr>
          <w:rFonts w:ascii="宋体" w:hAnsi="宋体" w:eastAsia="宋体" w:cs="宋体"/>
          <w:color w:val="000000"/>
          <w:sz w:val="24"/>
          <w:szCs w:val="24"/>
        </w:rPr>
        <w:t xml:space="preserve">本机器配置的外周设备，如</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等，经双方协商，乙方将另外提供有偿维修服务。</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九、</w:t>
      </w:r>
      <w:r>
        <w:rPr>
          <w:rFonts w:ascii="宋体" w:hAnsi="宋体" w:eastAsia="宋体" w:cs="宋体"/>
          <w:color w:val="000000"/>
          <w:sz w:val="24"/>
          <w:szCs w:val="24"/>
        </w:rPr>
        <w:t xml:space="preserve">信息保密：</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w:t>
      </w:r>
      <w:r>
        <w:rPr>
          <w:rFonts w:ascii="宋体" w:hAnsi="宋体" w:eastAsia="宋体" w:cs="宋体"/>
          <w:color w:val="000000"/>
          <w:sz w:val="24"/>
          <w:szCs w:val="24"/>
        </w:rPr>
        <w:t xml:space="preserve">违约责任：</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由于公认的不可抗力事件造成的损坏（如自然灾害、爆炸、房屋倒塌、暴乱、坠机及蓄意破坏、缺乏燃料或水电、劳资纠纷、罢工、战争等），乙方根据实际情况部分或全部免除责任，并及时通知甲方。</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如因甲方或其代表使用不当（如违反操作手册所载规程操作）等原因而使乙方额外提供劳务或更换备件，乙方有权要求甲方承担因此发生的相关费用。</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ascii="宋体" w:hAnsi="宋体" w:eastAsia="宋体" w:cs="宋体"/>
          <w:color w:val="000000"/>
          <w:sz w:val="24"/>
          <w:szCs w:val="24"/>
        </w:rPr>
        <w:t xml:space="preserve">在合同有效期内，未经乙方认可甲方擅自维修，移机，保养及更换第三方零备件及耗材，乙方有权解除合同。</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rPr>
        <w:t xml:space="preserve">如果甲方超过本合同规定期限30天还未付款，乙方有权解除合同，并有权追索解除日前已到期的应付款包括违约金（违约金率为每7天合同总价款的0.3%）。在解除合同的前10天，乙方将书面通知甲方解除日期。</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十一、</w:t>
      </w:r>
      <w:r>
        <w:rPr>
          <w:rFonts w:ascii="宋体" w:hAnsi="宋体" w:eastAsia="宋体" w:cs="宋体"/>
          <w:color w:val="000000"/>
          <w:sz w:val="24"/>
          <w:szCs w:val="24"/>
        </w:rPr>
        <w:t xml:space="preserve">项目联系人</w:t>
      </w:r>
      <w:r/>
    </w:p>
    <w:p>
      <w:pPr>
        <w:ind w:left="0" w:right="0" w:firstLine="480"/>
        <w:jc w:val="both"/>
        <w:spacing w:before="0" w:after="0" w:line="360" w:lineRule="auto"/>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使用科室</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联系电话：</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十二、</w:t>
      </w:r>
      <w:r>
        <w:rPr>
          <w:rFonts w:ascii="宋体" w:hAnsi="宋体" w:eastAsia="宋体" w:cs="宋体"/>
          <w:color w:val="000000"/>
          <w:sz w:val="24"/>
          <w:szCs w:val="24"/>
        </w:rPr>
        <w:t xml:space="preserve">其他：</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十三、</w:t>
      </w:r>
      <w:r>
        <w:rPr>
          <w:rFonts w:ascii="宋体" w:hAnsi="宋体" w:eastAsia="宋体" w:cs="宋体"/>
          <w:color w:val="000000"/>
          <w:sz w:val="24"/>
          <w:szCs w:val="24"/>
        </w:rPr>
        <w:t xml:space="preserve">争议解决及法律适用：</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ascii="宋体" w:hAnsi="宋体" w:eastAsia="宋体" w:cs="宋体"/>
          <w:color w:val="000000"/>
          <w:sz w:val="24"/>
          <w:szCs w:val="24"/>
        </w:rPr>
        <w:t xml:space="preserve">双方应本着友好协商的原则解决争议。如协商不成，可向甲方所在地人民法院提起诉讼。</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t xml:space="preserve">本合同适用中华人民共和国法律。</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十四、</w:t>
      </w:r>
      <w:r>
        <w:rPr>
          <w:rFonts w:ascii="宋体" w:hAnsi="宋体" w:eastAsia="宋体" w:cs="宋体"/>
          <w:color w:val="000000"/>
          <w:sz w:val="24"/>
          <w:szCs w:val="24"/>
        </w:rPr>
        <w:t xml:space="preserve">合同正本一式六份，甲乙双方各持有三份，经双方签字盖章生效，甲乙双方同意任何对合同条款的手写改动均无效。</w:t>
      </w:r>
      <w:r/>
    </w:p>
    <w:p>
      <w:pPr>
        <w:ind w:left="0" w:right="0" w:firstLine="48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（以下无正文）</w:t>
      </w:r>
      <w:r/>
    </w:p>
    <w:p>
      <w:pPr>
        <w:ind w:right="0"/>
        <w:jc w:val="both"/>
        <w:spacing w:before="0" w:after="0"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pStyle w:val="704"/>
        <w:ind w:left="0" w:firstLine="0"/>
      </w:pPr>
      <w:r/>
      <w:r/>
    </w:p>
    <w:p>
      <w:pPr>
        <w:spacing w:before="156" w:after="156"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甲方：</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eastAsia="zh-CN"/>
        </w:rPr>
        <w:t xml:space="preserve">徐州市中心医院</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（盖章）</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乙方：</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（盖章）</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法定代表人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法定代表人</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委托代表人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委托代表人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开户银行</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开户银行</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p>
      <w:pPr>
        <w:ind w:left="1446" w:hanging="1446"/>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帐    号</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 xml:space="preserve">帐    号</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日    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cs="宋体"/>
          <w:b/>
          <w:color w:val="auto"/>
          <w:sz w:val="24"/>
          <w:szCs w:val="24"/>
          <w:highlight w:val="none"/>
        </w:rPr>
        <w:t xml:space="preserve">日    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line="360" w:lineRule="auto"/>
        <w:rPr>
          <w:rFonts w:hint="eastAsia" w:ascii="宋体" w:hAnsi="宋体" w:eastAsia="宋体" w:cs="宋体"/>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附件</w:t>
      </w:r>
      <w:r>
        <w:rPr>
          <w:rFonts w:hint="eastAsia" w:ascii="宋体" w:hAnsi="宋体" w:cs="宋体"/>
          <w:sz w:val="24"/>
          <w:lang w:val="en-US" w:eastAsia="zh-CN"/>
        </w:rPr>
        <w:t xml:space="preserve">1</w:t>
      </w:r>
      <w:r>
        <w:rPr>
          <w:rFonts w:hint="eastAsia" w:ascii="宋体" w:hAnsi="宋体" w:eastAsia="宋体" w:cs="宋体"/>
          <w:sz w:val="24"/>
        </w:rPr>
        <w:t xml:space="preserve">：医疗卫生机构廉洁购销合同</w:t>
      </w:r>
      <w:r/>
    </w:p>
    <w:p>
      <w:pPr>
        <w:pStyle w:val="730"/>
        <w:spacing w:before="0" w:beforeAutospacing="0" w:after="0" w:afterAutospacing="0"/>
        <w:rPr>
          <w:rFonts w:hint="eastAsia"/>
          <w:b/>
          <w:bCs/>
          <w:color w:val="auto"/>
          <w:highlight w:val="none"/>
        </w:rPr>
      </w:pPr>
      <w:r>
        <w:rPr>
          <w:rFonts w:hint="eastAsia"/>
          <w:b/>
          <w:bCs/>
          <w:color w:val="auto"/>
          <w:highlight w:val="none"/>
        </w:rPr>
      </w:r>
      <w:r/>
    </w:p>
    <w:p>
      <w:pPr>
        <w:pStyle w:val="730"/>
        <w:jc w:val="center"/>
        <w:spacing w:before="0" w:beforeAutospacing="0" w:after="0" w:afterAutospacing="0"/>
        <w:rPr>
          <w:rFonts w:hint="eastAsia"/>
          <w:b/>
          <w:bCs/>
          <w:color w:val="auto"/>
          <w:sz w:val="36"/>
          <w:szCs w:val="36"/>
          <w:highlight w:val="none"/>
        </w:rPr>
      </w:pPr>
      <w:r>
        <w:rPr>
          <w:rFonts w:hint="eastAsia"/>
          <w:b/>
          <w:bCs/>
          <w:color w:val="auto"/>
          <w:sz w:val="36"/>
          <w:szCs w:val="36"/>
          <w:highlight w:val="none"/>
        </w:rPr>
        <w:t xml:space="preserve">医疗卫生机构廉洁购销合同</w:t>
      </w:r>
      <w:r/>
    </w:p>
    <w:p>
      <w:pPr>
        <w:pStyle w:val="730"/>
        <w:spacing w:before="0" w:beforeAutospacing="0" w:after="0" w:afterAutospacing="0" w:line="240" w:lineRule="auto"/>
        <w:rPr>
          <w:rFonts w:hint="eastAsia"/>
          <w:b/>
          <w:color w:val="auto"/>
          <w:highlight w:val="none"/>
        </w:rPr>
      </w:pPr>
      <w:r>
        <w:rPr>
          <w:rFonts w:hint="eastAsia"/>
          <w:b/>
          <w:color w:val="auto"/>
          <w:highlight w:val="none"/>
        </w:rPr>
      </w:r>
      <w:r/>
    </w:p>
    <w:p>
      <w:pPr>
        <w:pStyle w:val="730"/>
        <w:spacing w:before="0" w:beforeAutospacing="0" w:after="0" w:afterAutospacing="0" w:line="360" w:lineRule="auto"/>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（以下简称甲方） </w:t>
      </w:r>
      <w:r/>
    </w:p>
    <w:p>
      <w:pPr>
        <w:pStyle w:val="730"/>
        <w:spacing w:before="0" w:beforeAutospacing="0" w:after="0" w:afterAutospacing="0" w:line="360" w:lineRule="auto"/>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p>
    <w:p>
      <w:pPr>
        <w:pStyle w:val="730"/>
        <w:spacing w:before="0" w:beforeAutospacing="0" w:after="0" w:afterAutospacing="0" w:line="360" w:lineRule="auto"/>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一、</w:t>
      </w:r>
      <w:r>
        <w:rPr>
          <w:rFonts w:hint="eastAsia" w:ascii="宋体" w:hAnsi="宋体" w:cs="宋体"/>
          <w:color w:val="auto"/>
          <w:sz w:val="24"/>
          <w:highlight w:val="none"/>
        </w:rPr>
        <w:t xml:space="preserve">甲乙双方按照《中华人民共和国民法典》及购销合同约定购销药品、医用设备、医用试剂、检验检测试剂等货物、服务、工程类项目。</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三、</w:t>
      </w:r>
      <w:r>
        <w:rPr>
          <w:rFonts w:hint="eastAsia" w:ascii="宋体" w:hAnsi="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況。</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四、</w:t>
      </w:r>
      <w:r>
        <w:rPr>
          <w:rFonts w:hint="eastAsia" w:ascii="宋体" w:hAnsi="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五、</w:t>
      </w:r>
      <w:r>
        <w:rPr>
          <w:rFonts w:hint="eastAsia" w:ascii="宋体" w:hAnsi="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trike/>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乙方指定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trike/>
          <w:color w:val="auto"/>
          <w:sz w:val="24"/>
          <w:highlight w:val="none"/>
        </w:rPr>
      </w:pPr>
      <w:r>
        <w:rPr>
          <w:rFonts w:hint="eastAsia" w:ascii="宋体" w:hAnsi="宋体" w:cs="宋体"/>
          <w:b/>
          <w:color w:val="auto"/>
          <w:sz w:val="24"/>
          <w:highlight w:val="none"/>
        </w:rPr>
        <w:t xml:space="preserve">七、</w:t>
      </w:r>
      <w:r>
        <w:rPr>
          <w:rFonts w:hint="eastAsia" w:ascii="宋体" w:hAnsi="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九、</w:t>
      </w:r>
      <w:r>
        <w:rPr>
          <w:rFonts w:hint="eastAsia" w:ascii="宋体" w:hAnsi="宋体" w:cs="宋体"/>
          <w:color w:val="auto"/>
          <w:sz w:val="24"/>
          <w:highlight w:val="none"/>
        </w:rPr>
        <w:t xml:space="preserve">本合同一式贰份，甲方壹份，乙方壹份，从签订之日起生效。</w:t>
      </w:r>
      <w:r/>
    </w:p>
    <w:p>
      <w:pPr>
        <w:spacing w:before="120" w:after="120"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before="120" w:after="12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  乙方：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lang w:val="en-US" w:eastAsia="zh-CN"/>
        </w:rPr>
        <w:t xml:space="preserve">   </w:t>
      </w: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spacing w:line="360" w:lineRule="auto"/>
        <w:rPr>
          <w:rFonts w:hint="eastAsia" w:ascii="宋体" w:hAnsi="宋体" w:cs="宋体"/>
          <w:b/>
          <w:color w:val="auto"/>
          <w:sz w:val="32"/>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numPr>
          <w:ilvl w:val="0"/>
          <w:numId w:val="1"/>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rPr>
        <w:t xml:space="preserve">采购需求</w:t>
      </w:r>
      <w:bookmarkStart w:id="0" w:name="_Toc322457054"/>
      <w:r/>
      <w:bookmarkEnd w:id="0"/>
      <w:r/>
      <w:bookmarkStart w:id="1" w:name="_Toc324452802"/>
      <w:r/>
      <w:bookmarkEnd w:id="1"/>
      <w:r/>
      <w:r/>
    </w:p>
    <w:p>
      <w:pPr>
        <w:ind w:left="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一、本项目不接受超过人民币</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280</w:t>
      </w:r>
      <w:r>
        <w:rPr>
          <w:rFonts w:hint="eastAsia" w:ascii="宋体" w:hAnsi="宋体" w:eastAsia="宋体" w:cs="宋体"/>
          <w:b/>
          <w:bCs/>
          <w:color w:val="auto"/>
          <w:sz w:val="24"/>
          <w:szCs w:val="24"/>
          <w:highlight w:val="none"/>
          <w:u w:val="single"/>
          <w:lang w:val="en-US" w:eastAsia="zh-CN"/>
        </w:rPr>
        <w:t xml:space="preserve">.00</w:t>
      </w:r>
      <w:r>
        <w:rPr>
          <w:rFonts w:hint="eastAsia" w:ascii="宋体" w:hAnsi="宋体" w:eastAsia="宋体" w:cs="宋体"/>
          <w:b/>
          <w:bCs/>
          <w:color w:val="auto"/>
          <w:sz w:val="24"/>
          <w:szCs w:val="24"/>
          <w:highlight w:val="none"/>
          <w:u w:val="none"/>
          <w:lang w:val="en-US" w:eastAsia="zh-CN"/>
        </w:rPr>
        <w:t xml:space="preserve">万元</w:t>
      </w:r>
      <w:r>
        <w:rPr>
          <w:rFonts w:hint="eastAsia" w:ascii="宋体" w:hAnsi="宋体" w:eastAsia="宋体" w:cs="宋体"/>
          <w:b/>
          <w:bCs/>
          <w:color w:val="auto"/>
          <w:sz w:val="24"/>
          <w:szCs w:val="24"/>
          <w:highlight w:val="none"/>
        </w:rPr>
        <w:t xml:space="preserve">（采购项目预算金额）的</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w:t>
      </w:r>
      <w:r/>
    </w:p>
    <w:p>
      <w:pPr>
        <w:pStyle w:val="730"/>
        <w:ind w:left="0"/>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lang w:val="en-US" w:eastAsia="zh-CN"/>
        </w:rPr>
        <w:outlineLvl w:val="9"/>
      </w:pPr>
      <w:r>
        <w:rPr>
          <w:rFonts w:hint="eastAsia" w:cs="宋体"/>
          <w:b/>
          <w:bCs/>
          <w:color w:val="auto"/>
          <w:sz w:val="24"/>
          <w:szCs w:val="24"/>
          <w:highlight w:val="none"/>
          <w:lang w:val="en-US" w:eastAsia="zh-CN"/>
        </w:rPr>
        <w:t xml:space="preserve">注：投标报价包括完成本项工作所需的一切费用，包括但不限于完成该标的物全部内容的零配件、材料、安装、调试、人工、机械、保险、运费、劳保、各种税费以及质保期间的一切费用。</w:t>
      </w:r>
      <w:r/>
    </w:p>
    <w:p>
      <w:pPr>
        <w:pStyle w:val="730"/>
        <w:ind w:left="0"/>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二、项目</w:t>
      </w:r>
      <w:r>
        <w:rPr>
          <w:rFonts w:hint="eastAsia" w:eastAsia="宋体" w:cs="宋体"/>
          <w:b/>
          <w:bCs/>
          <w:color w:val="auto"/>
          <w:sz w:val="24"/>
          <w:szCs w:val="24"/>
          <w:highlight w:val="none"/>
          <w:lang w:val="en-US" w:eastAsia="zh-CN"/>
        </w:rPr>
        <w:t xml:space="preserve">说明</w:t>
      </w:r>
      <w:r>
        <w:rPr>
          <w:rFonts w:hint="eastAsia" w:ascii="宋体" w:hAnsi="宋体" w:eastAsia="宋体" w:cs="宋体"/>
          <w:b/>
          <w:bCs/>
          <w:color w:val="auto"/>
          <w:sz w:val="24"/>
          <w:szCs w:val="24"/>
          <w:highlight w:val="none"/>
        </w:rPr>
        <w:t xml:space="preserve">：</w:t>
      </w:r>
      <w:r/>
    </w:p>
    <w:p>
      <w:pPr>
        <w:pStyle w:val="712"/>
        <w:ind w:left="0"/>
        <w:keepLines w:val="0"/>
        <w:keepNext w:val="0"/>
        <w:pageBreakBefore w:val="0"/>
        <w:spacing w:after="0"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1、项目名称：内窥镜中心内窥镜维保。</w:t>
      </w:r>
      <w:r/>
    </w:p>
    <w:p>
      <w:pPr>
        <w:pStyle w:val="712"/>
        <w:ind w:left="0"/>
        <w:keepLines w:val="0"/>
        <w:keepNext w:val="0"/>
        <w:pageBreakBefore w:val="0"/>
        <w:spacing w:after="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2、合同履行期限：自合同签订之日起2年。</w:t>
      </w:r>
      <w:r/>
    </w:p>
    <w:p>
      <w:pPr>
        <w:pStyle w:val="712"/>
        <w:ind w:left="0"/>
        <w:keepLines w:val="0"/>
        <w:keepNext w:val="0"/>
        <w:pageBreakBefore w:val="0"/>
        <w:spacing w:after="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3、维保设备明细表：具体详见下表</w:t>
      </w:r>
      <w:r/>
    </w:p>
    <w:tbl>
      <w:tblPr>
        <w:tblStyle w:val="70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4"/>
        <w:gridCol w:w="2382"/>
        <w:gridCol w:w="1610"/>
        <w:gridCol w:w="1610"/>
        <w:gridCol w:w="1322"/>
        <w:gridCol w:w="753"/>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机身号</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超声电子支气管镜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BF-UC260FW</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1310700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2025179</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2027903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2027908-1</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2027912</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2027917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2028069</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2028104</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2028107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GIF-H290Z</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2036213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2070107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2070110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2070113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2070128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电子小肠镜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SIF-Q260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2100543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GIF-FQ260Z</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2110461</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JF-260V</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2112878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2115918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2151043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2151190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2211875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2305410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2316609</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2316665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2316903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2352717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2352825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2352934</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2352935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2352942</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2445926</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2504193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2517287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2517295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2563565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2563573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2563860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2563861</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2563863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2563866</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2603158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2603160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支气管镜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BF-260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2614605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2627494</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2674102</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2674103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BF-1T260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2713318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2827114</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2827219</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2827222</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2827227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GIF-H260Z</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2835238</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2869326</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2869335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2869415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电子胸腔镜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LTF-240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2911073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7037295</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7037387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7040999</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7041143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7515857</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7590240</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7820666</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冷光源</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7821244</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7828363</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7829591</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aps w:val="0"/>
                <w:color w:val="auto"/>
                <w:spacing w:val="0"/>
                <w:sz w:val="24"/>
                <w:szCs w:val="24"/>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GIF-XP260N</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2227562</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pStyle w:val="923"/>
        <w:numPr>
          <w:ilvl w:val="0"/>
          <w:numId w:val="0"/>
        </w:numPr>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23"/>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三、维保服务要求：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1、保证维修所更换的零部件必须为原厂全新的同型号匹配备件，所更换的零部件由中标人提供。</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2、明细中所列产品的保修为全保，不管任何原因造成的内镜损坏（除人为故意、自然灾害、其他不可预料灾害外），中标人应无偿维修，否则视为存在故障未处理。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3、在零件齐备的情况下，72小时之内完成小维修，15个工作日之内完成大维修。</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4、维保明细内所列的设备发生故障需要大维修时，采购人有权使用备用品，中标人应及时提供相同型号的备用品。</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5、选派专门工程师负责内镜维修和清洗保养培训工作，如出现问题，工程师保证在72小时内提供现场技术支持，并提供7*天24小时的电话支持服务。</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6、选派工程师为采购人提供1年不少于4次定期巡回检查，并提交检查报告给医院备档。</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7、提供每年不少于2次的周边仪器免费除尘清洁服务（周边仪器是指本合同维修范围清单内的周边仪器如：超声主机、光源等）。</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8、在服务期内，可根据采购人的需求，对附件内所列设备的使用、清洗和保养方法为采购人提供培训。</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9、服务期间，须保证保修设备开机率达到95%以上；如设备故障停机率超过5%（一年按365天计算，每年18天），每超过一天，保修期顺延一天。</w:t>
      </w:r>
      <w:r/>
    </w:p>
    <w:p>
      <w:pPr>
        <w:spacing w:line="360" w:lineRule="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lang w:val="en-US" w:eastAsia="zh-CN"/>
        </w:rPr>
        <w:t xml:space="preserve">、在保修期内，《维保设备明细表》中的设备所有的人工、配件、交通、物流、食宿费用均由</w:t>
      </w:r>
      <w:r>
        <w:rPr>
          <w:rFonts w:hint="eastAsia" w:cs="Times New Roman"/>
          <w:color w:val="auto"/>
          <w:sz w:val="24"/>
          <w:szCs w:val="24"/>
          <w:highlight w:val="none"/>
          <w:lang w:val="en-US" w:eastAsia="zh-CN"/>
        </w:rPr>
        <w:t xml:space="preserve">中标人</w:t>
      </w:r>
      <w:r>
        <w:rPr>
          <w:rFonts w:hint="eastAsia" w:ascii="Times New Roman" w:hAnsi="Times New Roman" w:eastAsia="宋体" w:cs="Times New Roman"/>
          <w:color w:val="auto"/>
          <w:sz w:val="24"/>
          <w:szCs w:val="24"/>
          <w:highlight w:val="none"/>
          <w:lang w:val="en-US" w:eastAsia="zh-CN"/>
        </w:rPr>
        <w:t xml:space="preserve">承担。</w:t>
      </w:r>
      <w:r/>
    </w:p>
    <w:p>
      <w:pPr>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需保证保修服务所提供的所有配件来源合法，符合各级行政管理部门的管理要求。如若涉及违法违规，所有责任由</w:t>
      </w:r>
      <w:r>
        <w:rPr>
          <w:rFonts w:hint="eastAsia" w:cs="Times New Roman"/>
          <w:color w:val="auto"/>
          <w:sz w:val="24"/>
          <w:szCs w:val="24"/>
          <w:highlight w:val="none"/>
          <w:lang w:val="en-US" w:eastAsia="zh-CN"/>
        </w:rPr>
        <w:t xml:space="preserve">中标人</w:t>
      </w:r>
      <w:r>
        <w:rPr>
          <w:rFonts w:hint="eastAsia" w:ascii="Times New Roman" w:hAnsi="Times New Roman" w:eastAsia="宋体" w:cs="Times New Roman"/>
          <w:color w:val="auto"/>
          <w:sz w:val="24"/>
          <w:szCs w:val="24"/>
          <w:highlight w:val="none"/>
          <w:lang w:val="en-US" w:eastAsia="zh-CN"/>
        </w:rPr>
        <w:t xml:space="preserve">承担。</w:t>
      </w:r>
      <w:r/>
    </w:p>
    <w:p>
      <w:pPr>
        <w:jc w:val="left"/>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、项目维保质量目标、服务安全承诺条款</w:t>
      </w:r>
      <w:r>
        <w:rPr>
          <w:rFonts w:hint="eastAsia" w:ascii="宋体" w:hAnsi="宋体" w:eastAsia="宋体" w:cs="宋体"/>
          <w:b/>
          <w:bCs/>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rPr>
        <w:t xml:space="preserve">1、项目维保质量目标</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（1）维护工作质量符合国家有关规定、要求符合医院内部规范，如无国家规范需遵循地方、行业或院内的相关规范，并以这三者要求高的为标准。</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（2）保证提供员工的合法身份及无犯罪记录，其派驻人员应遵守国家政策法令，遵守劳动纪律，讲究职业道德；并遵守院内的各项规章制度。</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（3）每次维护结束时，维护人员应负责清理相关工作场所。</w:t>
      </w:r>
      <w:r>
        <w:rPr>
          <w:rFonts w:hint="eastAsia" w:ascii="宋体" w:hAnsi="宋体" w:eastAsia="宋体" w:cs="宋体"/>
          <w:color w:val="auto"/>
          <w:sz w:val="24"/>
          <w:szCs w:val="24"/>
          <w:highlight w:val="none"/>
          <w:lang w:eastAsia="zh-CN"/>
        </w:rPr>
        <w:t xml:space="preserve">成交</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在整个维保过程中，保持维保设备摆放整齐，现场清洁，维保完成后应及时清运垃圾杂物，做好物尽场清。</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）维护服务过程中，由于服务人员工作不当而造成的人员意外伤害及给医院带来财产损失，由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承担全部人身伤害责任，并负责赔偿采购人的财产损失。</w:t>
      </w:r>
      <w:r/>
    </w:p>
    <w:p>
      <w:pPr>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rPr>
        <w:t xml:space="preserve">2、服务安全承诺条款</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（1）认真执行国家及地方制定的安全生产政策、法令指示和关于企业安全生产管理的各项规定，确保人身、设备在维保过程中的安全，严防各类事故发生。</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应承担对自己员工的安全保障责任，加强安全教育并根据国家相关规定为</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在采购人从事服务的工作人员</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各类保险。</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需要配备相关的安全生产器材和安全防护用品。</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应建立并执行安全生产奖惩制度。根据各级签订的安全生产责任状中的有关条款和安全生产奖惩制度的有关规定，使安全生产管理工作与各级安全责任人的经济挂钩，以便更</w:t>
      </w:r>
      <w:r>
        <w:rPr>
          <w:rFonts w:hint="eastAsia" w:ascii="宋体" w:hAnsi="宋体" w:eastAsia="宋体" w:cs="宋体"/>
          <w:color w:val="auto"/>
          <w:sz w:val="24"/>
          <w:szCs w:val="24"/>
          <w:highlight w:val="none"/>
          <w:lang w:eastAsia="zh-CN"/>
        </w:rPr>
        <w:t xml:space="preserve">好地</w:t>
      </w:r>
      <w:r>
        <w:rPr>
          <w:rFonts w:hint="eastAsia" w:ascii="宋体" w:hAnsi="宋体" w:eastAsia="宋体" w:cs="宋体"/>
          <w:color w:val="auto"/>
          <w:sz w:val="24"/>
          <w:szCs w:val="24"/>
          <w:highlight w:val="none"/>
        </w:rPr>
        <w:t xml:space="preserve">提高各级安全管理人员的安全意识和责任心，最终实现安全生产的目标。</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（5）在维保过程中，如果出现任何经由政府机构认定的由于</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所造成的对其他人员的人身损伤或伤害等意外事故，所造成的所有损失及责任应由</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负责，采购人不负有任何经济或法律等</w:t>
      </w:r>
      <w:r>
        <w:rPr>
          <w:rFonts w:hint="eastAsia" w:ascii="宋体" w:hAnsi="宋体" w:eastAsia="宋体" w:cs="宋体"/>
          <w:color w:val="auto"/>
          <w:sz w:val="24"/>
          <w:szCs w:val="24"/>
          <w:highlight w:val="none"/>
          <w:lang w:eastAsia="zh-CN"/>
        </w:rPr>
        <w:t xml:space="preserve">连</w:t>
      </w:r>
      <w:r>
        <w:rPr>
          <w:rFonts w:hint="eastAsia" w:ascii="宋体" w:hAnsi="宋体" w:eastAsia="宋体" w:cs="宋体"/>
          <w:color w:val="auto"/>
          <w:sz w:val="24"/>
          <w:szCs w:val="24"/>
          <w:highlight w:val="none"/>
        </w:rPr>
        <w:t xml:space="preserve">带责任。</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）维保作业期间现场设置警戒围挡护栏或标志，必要时应作封闭式隔离，以保证采购人员和病患人员的安全。</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禁止私自拉接电源。用电必须向采购人提出申请，由保卫科统一安排联接。如需停电必须取得采购人同意。禁止私自打开开关箱操作、启动设备或关闭设备。禁止在未经授权的情况下改变已关闭设备的运行状态。</w:t>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）采购人应保证设备使用环境和用电环境稳定、可靠，按照设备使用手册的要求正确操作设备，并对设备进行日常清洁保养和基本维护工作，做好故障记录。</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项目实施</w:t>
      </w:r>
      <w:r>
        <w:rPr>
          <w:rFonts w:hint="eastAsia" w:ascii="宋体" w:hAnsi="宋体" w:cs="宋体"/>
          <w:b/>
          <w:color w:val="auto"/>
          <w:sz w:val="24"/>
          <w:szCs w:val="24"/>
          <w:highlight w:val="none"/>
        </w:rPr>
        <w:t xml:space="preserve">要求</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1、服务期：</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须按照采购人和相关行政主管部门要求完成相关维保任务，并出具维保报告、整改意见等成果文件。</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需根据工作量，提前准备好维保顺序和维保方案，安排好合适的维保服务人员，不得</w:t>
      </w:r>
      <w:r>
        <w:rPr>
          <w:rFonts w:hint="eastAsia"/>
          <w:color w:val="auto"/>
          <w:sz w:val="24"/>
          <w:szCs w:val="24"/>
          <w:highlight w:val="none"/>
        </w:rPr>
        <w:t xml:space="preserve">由组织外散在的无约束保障的人员参与</w:t>
      </w:r>
      <w:r>
        <w:rPr>
          <w:rFonts w:hint="eastAsia" w:ascii="宋体" w:hAnsi="宋体" w:cs="宋体"/>
          <w:color w:val="auto"/>
          <w:sz w:val="24"/>
          <w:szCs w:val="24"/>
          <w:highlight w:val="none"/>
        </w:rPr>
        <w:t xml:space="preserve">维保服务。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2、做好服务范围内采购人设施设备和其他设施的保护工作，若有损坏，负责修复或照价赔偿；服务过程中对设备造成损坏或造成损失的，</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承担赔偿责任。</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在服务期间，现场管理应符合现行国家、省及项目所在地关于安全文明环保的要求，服务工作应当严格按相关规范执行，服务成果文件符合现行国家、省及项目所在地的相关规定要求，并不得影响采购人的正常工作。</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4、服务完成后，向采购人提交维保/升级报告，汇报维保/升级结果、遗留的问题、整改意见以及后续需要采购人履行的工作，整改后免费进行复检，直至验收合格或通过相关主管部门的审查。</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应保证所提供服务涉及到的知识产权和所提供的软件、技术资料是合法取得，并享有完整的知识产权，不会因为采购人的使用而被责令停止使用、追偿或要求赔偿损失，如出现此情况，一切经济和法律责任均由</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承担。</w:t>
      </w:r>
      <w:r/>
    </w:p>
    <w:p>
      <w:pPr>
        <w:pStyle w:val="712"/>
        <w:ind w:left="0"/>
        <w:keepLines w:val="0"/>
        <w:keepNext w:val="0"/>
        <w:pageBreakBefore w:val="0"/>
        <w:spacing w:after="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其他要求：</w:t>
      </w:r>
      <w:r/>
    </w:p>
    <w:p>
      <w:pPr>
        <w:pStyle w:val="712"/>
        <w:ind w:left="0"/>
        <w:keepLines w:val="0"/>
        <w:keepNext w:val="0"/>
        <w:pageBreakBefore w:val="0"/>
        <w:spacing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须响应招标文件中提出的全部技术服务与要求，如有其中某些条款不响应时，应在</w:t>
      </w:r>
      <w:r>
        <w:rPr>
          <w:rFonts w:hint="eastAsia" w:ascii="宋体" w:hAnsi="宋体" w:eastAsia="宋体" w:cs="宋体"/>
          <w:b w:val="0"/>
          <w:bCs w:val="0"/>
          <w:color w:val="auto"/>
          <w:sz w:val="24"/>
          <w:szCs w:val="24"/>
          <w:highlight w:val="none"/>
          <w:lang w:val="en-US" w:eastAsia="zh-CN"/>
        </w:rPr>
        <w:t xml:space="preserve">投标文件中的</w:t>
      </w:r>
      <w:r>
        <w:rPr>
          <w:rFonts w:hint="eastAsia" w:ascii="宋体" w:hAnsi="宋体" w:eastAsia="宋体" w:cs="宋体"/>
          <w:b w:val="0"/>
          <w:bCs w:val="0"/>
          <w:color w:val="auto"/>
          <w:sz w:val="24"/>
          <w:szCs w:val="24"/>
          <w:highlight w:val="none"/>
        </w:rPr>
        <w:t xml:space="preserve">偏离表</w:t>
      </w:r>
      <w:r>
        <w:rPr>
          <w:rFonts w:hint="eastAsia" w:ascii="宋体" w:hAnsi="宋体" w:eastAsia="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rPr>
        <w:t xml:space="preserve">逐条列出，未列出的视同响应。</w:t>
      </w:r>
      <w:r/>
    </w:p>
    <w:p>
      <w:pPr>
        <w:pStyle w:val="712"/>
        <w:ind w:left="0"/>
        <w:keepLines w:val="0"/>
        <w:keepNext w:val="0"/>
        <w:pageBreakBefore w:val="0"/>
        <w:spacing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3、服务期内所有上门服务产生的一切费用（包括但不限于交通、食宿等）均包含在</w:t>
      </w:r>
      <w:r>
        <w:rPr>
          <w:rFonts w:hint="eastAsia" w:ascii="宋体" w:hAnsi="宋体" w:eastAsia="宋体" w:cs="宋体"/>
          <w:b w:val="0"/>
          <w:bCs w:val="0"/>
          <w:color w:val="auto"/>
          <w:sz w:val="24"/>
          <w:szCs w:val="24"/>
          <w:highlight w:val="none"/>
          <w:lang w:val="en-US" w:eastAsia="zh-CN"/>
        </w:rPr>
        <w:t xml:space="preserve">响应</w:t>
      </w:r>
      <w:r>
        <w:rPr>
          <w:rFonts w:hint="eastAsia" w:ascii="宋体" w:hAnsi="宋体" w:eastAsia="宋体" w:cs="宋体"/>
          <w:b w:val="0"/>
          <w:bCs w:val="0"/>
          <w:color w:val="auto"/>
          <w:sz w:val="24"/>
          <w:szCs w:val="24"/>
          <w:highlight w:val="none"/>
        </w:rPr>
        <w:t xml:space="preserve">报价内。</w:t>
      </w:r>
      <w:r/>
    </w:p>
    <w:p>
      <w:pPr>
        <w:pStyle w:val="712"/>
        <w:ind w:left="0"/>
        <w:keepLines w:val="0"/>
        <w:keepNext w:val="0"/>
        <w:pageBreakBefore w:val="0"/>
        <w:spacing w:after="0"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中标人应在获取招标文件后自行对项目现场和周围环境进行实地踏勘，以了解现场的环境、范围、技术要求及相关服务，获取有关编制投标文件和签订合同所需的各项资料。中标人应承担现场踏勘的责任和风险，费用由中标人自己承担。中标后不得以未踏勘现场或不了解现场为由提出任何增加费用的要求。</w:t>
      </w:r>
      <w:r/>
    </w:p>
    <w:p>
      <w:pPr>
        <w:pStyle w:val="722"/>
        <w:spacing w:line="360" w:lineRule="auto"/>
        <w:rPr>
          <w:rStyle w:val="933"/>
          <w:rFonts w:hint="eastAsia" w:ascii="宋体" w:hAnsi="宋体" w:cs="宋体"/>
          <w:b w:val="0"/>
          <w:bCs/>
          <w:color w:val="auto"/>
          <w:sz w:val="24"/>
          <w:szCs w:val="24"/>
        </w:rPr>
      </w:pPr>
      <w:r>
        <w:rPr>
          <w:rFonts w:hint="eastAsia" w:ascii="宋体" w:hAnsi="宋体" w:cs="宋体"/>
          <w:b w:val="0"/>
          <w:bCs/>
          <w:color w:val="auto"/>
          <w:sz w:val="24"/>
          <w:szCs w:val="24"/>
          <w:lang w:val="en-US" w:eastAsia="zh-CN"/>
        </w:rPr>
        <w:t xml:space="preserve">5</w:t>
      </w:r>
      <w:r>
        <w:rPr>
          <w:rFonts w:hint="eastAsia" w:ascii="宋体" w:hAnsi="宋体" w:cs="宋体"/>
          <w:b w:val="0"/>
          <w:bCs/>
          <w:color w:val="auto"/>
          <w:sz w:val="24"/>
          <w:szCs w:val="24"/>
        </w:rPr>
        <w:t xml:space="preserve">、其他要求：见招标文件第五章《拟签订的合同文本》。</w:t>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投标人唯一投标报价见《开标一览表》。</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投标人将按招标文件的规定履行合同责任和义务。</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投标有效期为开标之日后90天。</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投标人同意按照招标文件规定支付招标代理服务费。</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与本投标有关的一切正式往来信函请寄：</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格式自拟</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14"/>
        <w:ind w:left="0" w:firstLine="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364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640"/>
        <w:spacing w:line="360" w:lineRule="auto"/>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jc w:val="left"/>
        <w:spacing w:line="360" w:lineRule="auto"/>
        <w:widowControl/>
        <w:rPr>
          <w:rFonts w:hint="eastAsia" w:ascii="宋体" w:hAnsi="宋体" w:cs="宋体"/>
          <w:b/>
          <w:bCs/>
          <w:color w:val="auto"/>
          <w:sz w:val="24"/>
          <w:szCs w:val="24"/>
        </w:rPr>
      </w:pPr>
      <w:r>
        <w:rPr>
          <w:rFonts w:hint="eastAsia" w:ascii="宋体" w:hAnsi="宋体" w:cs="宋体"/>
          <w:b/>
          <w:bCs/>
          <w:color w:val="auto"/>
          <w:sz w:val="24"/>
          <w:szCs w:val="24"/>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注：</w:t>
      </w:r>
      <w:r>
        <w:rPr>
          <w:rFonts w:hint="eastAsia" w:ascii="宋体" w:hAnsi="宋体" w:eastAsia="宋体" w:cs="宋体"/>
          <w:sz w:val="24"/>
          <w:szCs w:val="24"/>
        </w:rPr>
        <w:t xml:space="preserve">投标人对以上数据的真实性负责。</w:t>
      </w:r>
      <w:r/>
    </w:p>
    <w:p>
      <w:pPr>
        <w:jc w:val="left"/>
        <w:spacing w:line="360" w:lineRule="auto"/>
        <w:widowControl/>
        <w:rPr>
          <w:rFonts w:hint="eastAsia" w:ascii="宋体" w:hAnsi="宋体" w:cs="宋体"/>
          <w:b/>
          <w:bCs/>
          <w:color w:val="auto"/>
          <w:sz w:val="24"/>
          <w:szCs w:val="24"/>
        </w:rPr>
      </w:pPr>
      <w:r>
        <w:rPr>
          <w:rFonts w:hint="eastAsia" w:ascii="宋体" w:hAnsi="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73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五、授权委托书及法定代表人身份证明书格式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（一）授权委托书</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法定代表人（负责人）（签字或盖章）：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714"/>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before="100" w:after="100"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（二）法定代表人身份证明书</w:t>
      </w:r>
      <w:r/>
    </w:p>
    <w:p>
      <w:pPr>
        <w:pStyle w:val="722"/>
        <w:rPr>
          <w:rFonts w:hint="eastAsia" w:ascii="宋体" w:hAnsi="宋体" w:cs="宋体"/>
          <w:color w:val="auto"/>
          <w:sz w:val="24"/>
        </w:rPr>
      </w:pPr>
      <w:r>
        <w:rPr>
          <w:rFonts w:hint="eastAsia" w:ascii="宋体" w:hAnsi="宋体" w:cs="宋体"/>
          <w:color w:val="auto"/>
          <w:sz w:val="24"/>
        </w:rPr>
      </w:r>
      <w:r/>
    </w:p>
    <w:p>
      <w:pPr>
        <w:pStyle w:val="926"/>
        <w:ind w:firstLine="480"/>
        <w:spacing w:line="500" w:lineRule="exact"/>
        <w:tabs>
          <w:tab w:val="left" w:pos="720" w:leader="none"/>
          <w:tab w:val="left" w:pos="900" w:leader="none"/>
        </w:tabs>
        <w:rPr>
          <w:rFonts w:hint="eastAsia" w:ascii="宋体" w:hAnsi="宋体" w:cs="宋体"/>
          <w:color w:val="auto"/>
          <w:sz w:val="24"/>
        </w:rPr>
      </w:pPr>
      <w:r>
        <w:rPr>
          <w:rFonts w:hint="eastAsia" w:ascii="宋体" w:hAnsi="宋体" w:cs="宋体"/>
          <w:color w:val="auto"/>
          <w:sz w:val="24"/>
        </w:rPr>
      </w:r>
      <w:r/>
    </w:p>
    <w:p>
      <w:pPr>
        <w:pStyle w:val="926"/>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t xml:space="preserve">单位名称：</w:t>
      </w:r>
      <w:r/>
    </w:p>
    <w:p>
      <w:pPr>
        <w:pStyle w:val="926"/>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t xml:space="preserve">地址：</w:t>
      </w:r>
      <w:r/>
    </w:p>
    <w:p>
      <w:pPr>
        <w:pStyle w:val="926"/>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t xml:space="preserve">姓名：            性别：    </w:t>
      </w:r>
      <w:r/>
    </w:p>
    <w:p>
      <w:pPr>
        <w:pStyle w:val="926"/>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t xml:space="preserve">身份证号：        职务：</w:t>
      </w:r>
      <w:r/>
    </w:p>
    <w:p>
      <w:pPr>
        <w:pStyle w:val="926"/>
        <w:ind w:firstLine="960"/>
        <w:spacing w:line="360" w:lineRule="auto"/>
        <w:rPr>
          <w:rFonts w:hint="eastAsia" w:ascii="宋体" w:hAnsi="宋体" w:cs="宋体"/>
          <w:color w:val="auto"/>
          <w:sz w:val="28"/>
          <w:szCs w:val="28"/>
          <w:u w:val="single"/>
        </w:rPr>
      </w:pPr>
      <w:r>
        <w:rPr>
          <w:rFonts w:hint="eastAsia" w:ascii="宋体" w:hAnsi="宋体" w:cs="宋体"/>
          <w:color w:val="auto"/>
          <w:sz w:val="28"/>
          <w:szCs w:val="28"/>
          <w:u w:val="single"/>
        </w:rPr>
      </w:r>
      <w:r/>
    </w:p>
    <w:p>
      <w:pPr>
        <w:pStyle w:val="926"/>
        <w:ind w:firstLine="600"/>
        <w:spacing w:line="360" w:lineRule="auto"/>
        <w:rPr>
          <w:rFonts w:hint="eastAsia"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系我企业（公司）的法定代表人。</w:t>
      </w:r>
      <w:r/>
    </w:p>
    <w:p>
      <w:pPr>
        <w:pStyle w:val="926"/>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r>
      <w:r/>
    </w:p>
    <w:p>
      <w:pPr>
        <w:pStyle w:val="926"/>
        <w:ind w:firstLine="480"/>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t xml:space="preserve">特此证明。</w:t>
      </w:r>
      <w:r/>
    </w:p>
    <w:p>
      <w:pPr>
        <w:pStyle w:val="926"/>
        <w:ind w:firstLine="480"/>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法定代表人（签字或盖章）：</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pStyle w:val="926"/>
        <w:jc w:val="right"/>
        <w:spacing w:line="360" w:lineRule="auto"/>
        <w:tabs>
          <w:tab w:val="left" w:pos="720" w:leader="none"/>
          <w:tab w:val="left" w:pos="900" w:leader="none"/>
        </w:tabs>
        <w:rPr>
          <w:rFonts w:hint="eastAsia" w:ascii="宋体" w:hAnsi="宋体" w:cs="宋体"/>
          <w:color w:val="auto"/>
          <w:sz w:val="30"/>
          <w:szCs w:val="30"/>
        </w:rPr>
      </w:pPr>
      <w:r>
        <w:rPr>
          <w:rFonts w:hint="eastAsia" w:ascii="宋体" w:hAnsi="宋体" w:cs="宋体"/>
          <w:color w:val="auto"/>
          <w:sz w:val="30"/>
          <w:szCs w:val="30"/>
        </w:rPr>
      </w:r>
      <w:r/>
    </w:p>
    <w:p>
      <w:pPr>
        <w:pStyle w:val="926"/>
        <w:spacing w:line="360" w:lineRule="auto"/>
        <w:rPr>
          <w:rFonts w:hint="eastAsia" w:ascii="宋体" w:hAnsi="宋体" w:cs="宋体"/>
          <w:color w:val="auto"/>
          <w:sz w:val="30"/>
          <w:szCs w:val="30"/>
        </w:rPr>
      </w:pPr>
      <w:r>
        <w:rPr>
          <w:rFonts w:hint="eastAsia" w:ascii="宋体" w:hAnsi="宋体" w:cs="宋体"/>
          <w:color w:val="auto"/>
          <w:sz w:val="30"/>
          <w:szCs w:val="30"/>
        </w:rPr>
      </w:r>
      <w:r/>
    </w:p>
    <w:p>
      <w:pPr>
        <w:pStyle w:val="926"/>
        <w:spacing w:line="360" w:lineRule="auto"/>
        <w:tabs>
          <w:tab w:val="left" w:pos="720" w:leader="none"/>
          <w:tab w:val="left" w:pos="900" w:leader="none"/>
        </w:tabs>
        <w:rPr>
          <w:rFonts w:hint="eastAsia" w:ascii="宋体" w:hAnsi="宋体" w:cs="宋体"/>
          <w:b/>
          <w:bCs/>
          <w:color w:val="auto"/>
          <w:sz w:val="30"/>
          <w:szCs w:val="30"/>
        </w:rPr>
      </w:pPr>
      <w:r>
        <w:rPr>
          <w:rFonts w:hint="eastAsia" w:ascii="宋体" w:hAnsi="宋体" w:cs="宋体"/>
          <w:b/>
          <w:bCs/>
          <w:color w:val="auto"/>
          <w:sz w:val="30"/>
          <w:szCs w:val="30"/>
        </w:rPr>
        <w:t xml:space="preserve">(法定代表人身份证原件扫描件附后）</w:t>
      </w:r>
      <w:r/>
    </w:p>
    <w:p>
      <w:pPr>
        <w:rPr>
          <w:rFonts w:hint="eastAsia" w:ascii="宋体" w:hAnsi="宋体" w:cs="宋体"/>
          <w:b/>
          <w:bCs/>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JSZC-320300-HWZX-G2026-0077</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徐州市中心医院内窥镜中心内窥镜维保项目</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lang w:eastAsia="zh-CN"/>
        </w:rPr>
        <w:t xml:space="preserve">徐州市中心医院</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徐州市中心医院内窥镜中心内窥镜维保项目</w:t>
      </w:r>
      <w:r>
        <w:rPr>
          <w:rFonts w:hint="eastAsia" w:ascii="宋体" w:hAnsi="宋体" w:cs="宋体"/>
          <w:color w:val="auto"/>
          <w:sz w:val="24"/>
        </w:rPr>
        <w:t xml:space="preserve">）采购活动，服务全部由符合政策要求的中小企业承接。相关企业的具体情况如下：</w:t>
      </w:r>
      <w:r/>
    </w:p>
    <w:p>
      <w:pPr>
        <w:pStyle w:val="705"/>
        <w:ind w:left="0" w:firstLine="560"/>
        <w:keepLines w:val="0"/>
        <w:keepNext w:val="0"/>
        <w:pageBreakBefore w:val="0"/>
        <w:spacing w:after="0" w:line="360" w:lineRule="auto"/>
        <w:widowControl w:val="off"/>
        <w:rPr>
          <w:rFonts w:ascii="宋体" w:hAnsi="宋体" w:cs="宋体"/>
          <w:sz w:val="24"/>
          <w:szCs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w:t>
      </w:r>
      <w:r>
        <w:rPr>
          <w:rFonts w:hint="eastAsia" w:ascii="宋体" w:hAnsi="宋体" w:cs="宋体"/>
          <w:color w:val="auto"/>
          <w:sz w:val="24"/>
          <w:u w:val="single"/>
          <w:lang w:eastAsia="zh-CN"/>
        </w:rPr>
        <w:t xml:space="preserve">徐州市中心医院内窥镜中心内窥镜维保项目</w:t>
      </w:r>
      <w:r>
        <w:rPr>
          <w:rFonts w:hint="eastAsia" w:ascii="宋体" w:hAnsi="宋体" w:cs="宋体"/>
          <w:color w:val="auto"/>
          <w:sz w:val="24"/>
        </w:rPr>
        <w:t xml:space="preserve">），属于（</w:t>
      </w:r>
      <w:r>
        <w:rPr>
          <w:rFonts w:hint="eastAsia" w:ascii="宋体" w:hAnsi="宋体" w:cs="宋体"/>
          <w:color w:val="auto"/>
          <w:sz w:val="24"/>
          <w:u w:val="single"/>
          <w:lang w:val="en-US" w:eastAsia="zh-CN"/>
        </w:rPr>
        <w:t xml:space="preserve">其他未列明行业</w:t>
      </w:r>
      <w:r>
        <w:rPr>
          <w:rFonts w:hint="eastAsia" w:ascii="宋体" w:hAnsi="宋体" w:cs="宋体"/>
          <w:color w:val="auto"/>
          <w:sz w:val="24"/>
        </w:rPr>
        <w:t xml:space="preserve">）行业；</w:t>
      </w:r>
      <w:r>
        <w:rPr>
          <w:rFonts w:hint="eastAsia" w:ascii="宋体" w:hAnsi="宋体" w:cs="宋体"/>
          <w:sz w:val="24"/>
          <w:szCs w:val="24"/>
        </w:rPr>
        <w:t xml:space="preserve">承接企业为（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hint="eastAsia" w:ascii="宋体" w:hAnsi="宋体" w:cs="宋体"/>
          <w:color w:val="ff0000"/>
          <w:sz w:val="24"/>
          <w:szCs w:val="24"/>
        </w:rPr>
        <w:t xml:space="preserve">请填写或勾选！</w:t>
      </w:r>
      <w:r>
        <w:rPr>
          <w:rFonts w:hint="eastAsia" w:ascii="宋体" w:hAnsi="宋体" w:cs="宋体"/>
          <w:sz w:val="24"/>
          <w:szCs w:val="24"/>
        </w:rPr>
        <w:t xml:space="preserve">）；</w:t>
      </w:r>
      <w:r/>
    </w:p>
    <w:p>
      <w:pPr>
        <w:pStyle w:val="713"/>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w:t>
      </w:r>
      <w:r/>
    </w:p>
    <w:p>
      <w:pPr>
        <w:pStyle w:val="713"/>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24" w:lineRule="auto"/>
        <w:rPr>
          <w:rFonts w:hint="eastAsia" w:ascii="宋体" w:hAnsi="宋体" w:cs="宋体"/>
          <w:b/>
          <w:bCs/>
          <w:color w:val="auto"/>
          <w:sz w:val="24"/>
        </w:rPr>
      </w:pPr>
      <w:r>
        <w:rPr>
          <w:rFonts w:hint="eastAsia" w:ascii="宋体" w:hAnsi="宋体" w:cs="宋体"/>
          <w:color w:val="auto"/>
          <w:sz w:val="24"/>
        </w:rPr>
        <w:t xml:space="preserve">本企业对上述声明内容的真实性负责。如有虚假，将依法承担相应责任。</w:t>
      </w:r>
      <w:r/>
    </w:p>
    <w:p>
      <w:pPr>
        <w:pStyle w:val="713"/>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713"/>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企业名称（电子签章）：</w:t>
      </w:r>
      <w:r/>
    </w:p>
    <w:p>
      <w:pPr>
        <w:pStyle w:val="713"/>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713"/>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日期：  年  月  日</w:t>
      </w:r>
      <w:r/>
    </w:p>
    <w:p>
      <w:pPr>
        <w:pStyle w:val="713"/>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t xml:space="preserve">说明：</w:t>
      </w:r>
      <w:r/>
    </w:p>
    <w:p>
      <w:pPr>
        <w:pStyle w:val="713"/>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3"/>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2、从业人员、营业收入、资产总额填报供应商上一年度数据，无上一年度数据的新成立企业可不填报。</w:t>
      </w:r>
      <w:r/>
    </w:p>
    <w:p>
      <w:pPr>
        <w:pStyle w:val="713"/>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3、中标、成交供应商为小型、微型企业的，采购人或者其委托的采购代理机构有权随中标、成交结果同时公告其《中小企业声明函》，接受社会监督。</w:t>
      </w:r>
      <w:r/>
    </w:p>
    <w:p>
      <w:pPr>
        <w:pStyle w:val="713"/>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4、执行江苏省财政厅关于进一步加大政府采购支持中小企业力度的通知（苏财购〔2022〕45号）的规定。</w:t>
      </w:r>
      <w:r/>
    </w:p>
    <w:p>
      <w:pPr>
        <w:pStyle w:val="713"/>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5、供应商提供的《中小企业声明函》与事实不符的，依照《政府采购法》第七十七条第一款的规定追究法律责任。</w:t>
      </w:r>
      <w:r/>
    </w:p>
    <w:p>
      <w:pPr>
        <w:jc w:val="left"/>
        <w:spacing w:line="324" w:lineRule="auto"/>
        <w:widowControl/>
        <w:rPr>
          <w:rFonts w:hint="eastAsia" w:ascii="宋体" w:hAnsi="宋体" w:cs="宋体"/>
          <w:color w:val="auto"/>
          <w:sz w:val="24"/>
        </w:rPr>
      </w:pPr>
      <w:r>
        <w:rPr>
          <w:rFonts w:hint="eastAsia" w:ascii="宋体" w:hAnsi="宋体" w:cs="宋体"/>
          <w:color w:val="auto"/>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09"/>
        <w:rPr>
          <w:rFonts w:hint="eastAsia" w:ascii="宋体" w:hAnsi="宋体" w:cs="宋体"/>
          <w:color w:val="auto"/>
          <w:sz w:val="24"/>
        </w:rPr>
      </w:pPr>
      <w:r>
        <w:rPr>
          <w:rFonts w:hint="eastAsia" w:ascii="宋体" w:hAnsi="宋体" w:cs="宋体"/>
          <w:color w:val="auto"/>
          <w:sz w:val="24"/>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2223135" cy="3145790"/>
                <wp:effectExtent l="0" t="0" r="5715" b="1651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5"/>
                        <a:stretch/>
                      </pic:blipFill>
                      <pic:spPr bwMode="auto">
                        <a:xfrm>
                          <a:off x="0" y="0"/>
                          <a:ext cx="2223135" cy="314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0pt;height:247.7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单位的</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徐州市中心医院内窥镜中心内窥镜维保项目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JSZC-320300-HWZX-G2026-0077</w:t>
      </w:r>
      <w:r>
        <w:rPr>
          <w:rFonts w:hint="eastAsia" w:ascii="宋体" w:hAnsi="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我单位对上述声明的真实性负责。如有虚假，将依法承担相应责任。</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九</w:t>
      </w:r>
      <w:r>
        <w:rPr>
          <w:rFonts w:hint="eastAsia" w:ascii="宋体" w:hAnsi="宋体" w:eastAsia="宋体" w:cs="宋体"/>
          <w:b/>
          <w:bCs/>
          <w:color w:val="auto"/>
          <w:sz w:val="30"/>
          <w:szCs w:val="30"/>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徐州市中心医院内窥镜中心内窥镜维保项目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JSZC-320300-HWZX-G2026-0077</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cs="宋体"/>
          <w:b/>
          <w:bCs/>
          <w:color w:val="auto"/>
          <w:sz w:val="30"/>
          <w:szCs w:val="30"/>
        </w:rPr>
        <w:t xml:space="preserve">、预付款保函支付条款模板</w:t>
      </w:r>
      <w:r/>
    </w:p>
    <w:p>
      <w:pPr>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2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Bdr>
        <w:bottom w:val="single" w:color="auto" w:sz="4" w:space="0"/>
      </w:pBdr>
    </w:pPr>
    <w:r>
      <w:rPr>
        <w:rFonts w:hint="eastAsia"/>
        <w:lang w:eastAsia="zh-CN"/>
      </w:rPr>
      <w:t xml:space="preserve">徐州市中心医院内窥镜中心内窥镜维保项目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徐州市中心医院内窥镜中心内窥镜维保项目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93"/>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795"/>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96"/>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97"/>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98"/>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800"/>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801"/>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 21"/>
    <w:basedOn w:val="705"/>
    <w:uiPriority w:val="99"/>
    <w:qFormat/>
  </w:style>
  <w:style w:type="paragraph" w:styleId="705" w:customStyle="1">
    <w:name w:val="正文文本缩进1"/>
    <w:basedOn w:val="706"/>
    <w:uiPriority w:val="0"/>
    <w:qFormat/>
    <w:pPr>
      <w:ind w:left="420"/>
      <w:spacing w:after="120"/>
    </w:pPr>
    <w:rPr>
      <w:rFonts w:ascii="Calibri" w:hAnsi="Calibri"/>
    </w:rPr>
  </w:style>
  <w:style w:type="paragraph" w:styleId="706" w:customStyle="1">
    <w:name w:val="正文11"/>
    <w:next w:val="7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customStyle="1">
    <w:name w:val="目录 11"/>
    <w:basedOn w:val="706"/>
    <w:next w:val="692"/>
    <w:uiPriority w:val="0"/>
    <w:qFormat/>
    <w:pPr>
      <w:jc w:val="left"/>
      <w:spacing w:after="100" w:line="259" w:lineRule="auto"/>
      <w:widowControl/>
    </w:pPr>
    <w:rPr>
      <w:rFonts w:ascii="Calibri" w:hAnsi="Calibri"/>
      <w:sz w:val="22"/>
      <w:szCs w:val="22"/>
    </w:rPr>
  </w:style>
  <w:style w:type="paragraph" w:styleId="708">
    <w:name w:val="toc 7"/>
    <w:basedOn w:val="692"/>
    <w:next w:val="692"/>
    <w:uiPriority w:val="39"/>
    <w:unhideWhenUsed/>
    <w:qFormat/>
    <w:pPr>
      <w:ind w:left="1701"/>
      <w:spacing w:after="57"/>
    </w:pPr>
  </w:style>
  <w:style w:type="paragraph" w:styleId="709">
    <w:name w:val="Normal Indent"/>
    <w:basedOn w:val="692"/>
    <w:uiPriority w:val="0"/>
    <w:qFormat/>
    <w:pPr>
      <w:ind w:firstLine="420"/>
    </w:pPr>
  </w:style>
  <w:style w:type="paragraph" w:styleId="710">
    <w:name w:val="Caption"/>
    <w:basedOn w:val="692"/>
    <w:next w:val="6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2"/>
    <w:link w:val="942"/>
    <w:uiPriority w:val="0"/>
    <w:qFormat/>
    <w:pPr>
      <w:jc w:val="left"/>
    </w:pPr>
  </w:style>
  <w:style w:type="paragraph" w:styleId="712">
    <w:name w:val="Body Text"/>
    <w:basedOn w:val="692"/>
    <w:next w:val="692"/>
    <w:uiPriority w:val="99"/>
    <w:qFormat/>
    <w:pPr>
      <w:spacing w:after="120"/>
    </w:pPr>
    <w:rPr>
      <w:rFonts w:ascii="Calibri" w:hAnsi="Calibri"/>
    </w:rPr>
  </w:style>
  <w:style w:type="paragraph" w:styleId="713">
    <w:name w:val="Body Text Indent"/>
    <w:basedOn w:val="692"/>
    <w:uiPriority w:val="0"/>
    <w:qFormat/>
    <w:pPr>
      <w:ind w:left="420"/>
      <w:spacing w:after="120"/>
    </w:pPr>
    <w:rPr>
      <w:rFonts w:ascii="Calibri" w:hAnsi="Calibri"/>
    </w:rPr>
  </w:style>
  <w:style w:type="paragraph" w:styleId="714">
    <w:name w:val="Block Text"/>
    <w:basedOn w:val="692"/>
    <w:uiPriority w:val="99"/>
    <w:unhideWhenUsed/>
    <w:qFormat/>
    <w:pPr>
      <w:ind w:left="1440" w:right="1440"/>
      <w:spacing w:after="120"/>
    </w:pPr>
  </w:style>
  <w:style w:type="paragraph" w:styleId="715">
    <w:name w:val="toc 5"/>
    <w:basedOn w:val="692"/>
    <w:next w:val="692"/>
    <w:uiPriority w:val="39"/>
    <w:unhideWhenUsed/>
    <w:qFormat/>
    <w:pPr>
      <w:ind w:left="1134"/>
      <w:spacing w:after="57"/>
    </w:pPr>
  </w:style>
  <w:style w:type="paragraph" w:styleId="716">
    <w:name w:val="toc 3"/>
    <w:basedOn w:val="692"/>
    <w:next w:val="692"/>
    <w:uiPriority w:val="39"/>
    <w:unhideWhenUsed/>
    <w:qFormat/>
    <w:pPr>
      <w:ind w:left="567"/>
      <w:spacing w:after="57"/>
    </w:pPr>
  </w:style>
  <w:style w:type="paragraph" w:styleId="717">
    <w:name w:val="toc 8"/>
    <w:basedOn w:val="692"/>
    <w:next w:val="692"/>
    <w:uiPriority w:val="39"/>
    <w:unhideWhenUsed/>
    <w:qFormat/>
    <w:pPr>
      <w:ind w:left="1984"/>
      <w:spacing w:after="57"/>
    </w:pPr>
  </w:style>
  <w:style w:type="paragraph" w:styleId="718">
    <w:name w:val="endnote text"/>
    <w:basedOn w:val="692"/>
    <w:link w:val="920"/>
    <w:uiPriority w:val="99"/>
    <w:semiHidden/>
    <w:unhideWhenUsed/>
    <w:qFormat/>
    <w:rPr>
      <w:sz w:val="20"/>
    </w:rPr>
  </w:style>
  <w:style w:type="paragraph" w:styleId="719">
    <w:name w:val="Balloon Text"/>
    <w:basedOn w:val="692"/>
    <w:link w:val="941"/>
    <w:uiPriority w:val="99"/>
    <w:semiHidden/>
    <w:unhideWhenUsed/>
    <w:qFormat/>
    <w:rPr>
      <w:sz w:val="18"/>
      <w:szCs w:val="18"/>
    </w:rPr>
  </w:style>
  <w:style w:type="paragraph" w:styleId="720">
    <w:name w:val="Footer"/>
    <w:basedOn w:val="692"/>
    <w:uiPriority w:val="99"/>
    <w:qFormat/>
    <w:pPr>
      <w:jc w:val="left"/>
      <w:tabs>
        <w:tab w:val="center" w:pos="4153" w:leader="none"/>
        <w:tab w:val="right" w:pos="8306" w:leader="none"/>
      </w:tabs>
    </w:pPr>
    <w:rPr>
      <w:sz w:val="18"/>
      <w:szCs w:val="18"/>
    </w:rPr>
  </w:style>
  <w:style w:type="paragraph" w:styleId="721">
    <w:name w:val="Header"/>
    <w:basedOn w:val="692"/>
    <w:uiPriority w:val="99"/>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2"/>
    <w:next w:val="692"/>
    <w:uiPriority w:val="39"/>
    <w:qFormat/>
  </w:style>
  <w:style w:type="paragraph" w:styleId="723">
    <w:name w:val="toc 4"/>
    <w:basedOn w:val="692"/>
    <w:next w:val="692"/>
    <w:uiPriority w:val="39"/>
    <w:unhideWhenUsed/>
    <w:qFormat/>
    <w:pPr>
      <w:ind w:left="850"/>
      <w:spacing w:after="57"/>
    </w:pPr>
  </w:style>
  <w:style w:type="paragraph" w:styleId="724">
    <w:name w:val="Subtitle"/>
    <w:basedOn w:val="692"/>
    <w:next w:val="692"/>
    <w:link w:val="805"/>
    <w:uiPriority w:val="11"/>
    <w:qFormat/>
    <w:pPr>
      <w:spacing w:before="200" w:after="200"/>
    </w:pPr>
    <w:rPr>
      <w:sz w:val="24"/>
    </w:rPr>
  </w:style>
  <w:style w:type="paragraph" w:styleId="725">
    <w:name w:val="footnote text"/>
    <w:basedOn w:val="692"/>
    <w:link w:val="919"/>
    <w:uiPriority w:val="99"/>
    <w:semiHidden/>
    <w:unhideWhenUsed/>
    <w:qFormat/>
    <w:pPr>
      <w:spacing w:after="40"/>
    </w:pPr>
    <w:rPr>
      <w:sz w:val="18"/>
    </w:rPr>
  </w:style>
  <w:style w:type="paragraph" w:styleId="726">
    <w:name w:val="toc 6"/>
    <w:basedOn w:val="692"/>
    <w:next w:val="692"/>
    <w:uiPriority w:val="39"/>
    <w:unhideWhenUsed/>
    <w:qFormat/>
    <w:pPr>
      <w:ind w:left="1417"/>
      <w:spacing w:after="57"/>
    </w:pPr>
  </w:style>
  <w:style w:type="paragraph" w:styleId="727">
    <w:name w:val="table of figures"/>
    <w:basedOn w:val="692"/>
    <w:next w:val="692"/>
    <w:uiPriority w:val="99"/>
    <w:unhideWhenUsed/>
    <w:qFormat/>
  </w:style>
  <w:style w:type="paragraph" w:styleId="728">
    <w:name w:val="toc 2"/>
    <w:basedOn w:val="692"/>
    <w:next w:val="692"/>
    <w:uiPriority w:val="39"/>
    <w:unhideWhenUsed/>
    <w:qFormat/>
    <w:pPr>
      <w:ind w:left="283"/>
      <w:spacing w:after="57"/>
    </w:pPr>
  </w:style>
  <w:style w:type="paragraph" w:styleId="729">
    <w:name w:val="toc 9"/>
    <w:basedOn w:val="692"/>
    <w:next w:val="692"/>
    <w:uiPriority w:val="39"/>
    <w:unhideWhenUsed/>
    <w:qFormat/>
    <w:pPr>
      <w:ind w:left="2268"/>
      <w:spacing w:after="57"/>
    </w:pPr>
  </w:style>
  <w:style w:type="paragraph" w:styleId="730">
    <w:name w:val="Normal (Web)"/>
    <w:basedOn w:val="692"/>
    <w:uiPriority w:val="0"/>
    <w:qFormat/>
    <w:pPr>
      <w:jc w:val="left"/>
      <w:spacing w:before="100" w:beforeAutospacing="1" w:after="100" w:afterAutospacing="1"/>
      <w:widowControl/>
    </w:pPr>
    <w:rPr>
      <w:rFonts w:ascii="宋体" w:hAnsi="宋体" w:cs="宋体"/>
      <w:sz w:val="24"/>
    </w:rPr>
  </w:style>
  <w:style w:type="paragraph" w:styleId="731">
    <w:name w:val="Title"/>
    <w:basedOn w:val="692"/>
    <w:next w:val="692"/>
    <w:link w:val="804"/>
    <w:uiPriority w:val="10"/>
    <w:qFormat/>
    <w:pPr>
      <w:contextualSpacing/>
      <w:spacing w:before="300" w:after="200"/>
    </w:pPr>
    <w:rPr>
      <w:sz w:val="48"/>
      <w:szCs w:val="48"/>
    </w:rPr>
  </w:style>
  <w:style w:type="paragraph" w:styleId="732">
    <w:name w:val="annotation subject"/>
    <w:basedOn w:val="711"/>
    <w:next w:val="711"/>
    <w:link w:val="943"/>
    <w:uiPriority w:val="99"/>
    <w:semiHidden/>
    <w:unhideWhenUsed/>
    <w:qFormat/>
    <w:rPr>
      <w:b/>
      <w:bCs/>
    </w:rPr>
  </w:style>
  <w:style w:type="table" w:styleId="733">
    <w:name w:val="Table Grid"/>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endnote reference"/>
    <w:basedOn w:val="702"/>
    <w:uiPriority w:val="99"/>
    <w:semiHidden/>
    <w:unhideWhenUsed/>
    <w:qFormat/>
    <w:rPr>
      <w:vertAlign w:val="superscript"/>
    </w:rPr>
  </w:style>
  <w:style w:type="character" w:styleId="735">
    <w:name w:val="Hyperlink"/>
    <w:basedOn w:val="702"/>
    <w:uiPriority w:val="99"/>
    <w:unhideWhenUsed/>
    <w:qFormat/>
    <w:rPr>
      <w:color w:val="0000ff"/>
      <w:u w:val="single"/>
    </w:rPr>
  </w:style>
  <w:style w:type="character" w:styleId="736">
    <w:name w:val="annotation reference"/>
    <w:basedOn w:val="702"/>
    <w:uiPriority w:val="99"/>
    <w:semiHidden/>
    <w:unhideWhenUsed/>
    <w:qFormat/>
    <w:rPr>
      <w:sz w:val="21"/>
      <w:szCs w:val="21"/>
    </w:rPr>
  </w:style>
  <w:style w:type="character" w:styleId="737">
    <w:name w:val="footnote reference"/>
    <w:basedOn w:val="702"/>
    <w:uiPriority w:val="99"/>
    <w:unhideWhenUsed/>
    <w:qFormat/>
    <w:rPr>
      <w:vertAlign w:val="superscript"/>
    </w:rPr>
  </w:style>
  <w:style w:type="table" w:styleId="738"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TOC Heading"/>
    <w:uiPriority w:val="39"/>
    <w:unhideWhenUsed/>
    <w:qFormat/>
    <w:rPr>
      <w:rFonts w:hint="default" w:ascii="Times New Roman" w:hAnsi="Times New Roman" w:eastAsia="宋体" w:cs="Times New Roman"/>
    </w:rPr>
  </w:style>
  <w:style w:type="table" w:styleId="758"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清单表 6 彩色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清单表 7 彩色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02"/>
    <w:uiPriority w:val="9"/>
    <w:qFormat/>
    <w:rPr>
      <w:rFonts w:ascii="Arial" w:hAnsi="Arial" w:eastAsia="Arial" w:cs="Arial"/>
      <w:sz w:val="40"/>
      <w:szCs w:val="40"/>
    </w:rPr>
  </w:style>
  <w:style w:type="character" w:styleId="779" w:customStyle="1">
    <w:name w:val="Heading 3 Char"/>
    <w:basedOn w:val="702"/>
    <w:uiPriority w:val="9"/>
    <w:qFormat/>
    <w:rPr>
      <w:rFonts w:ascii="Arial" w:hAnsi="Arial" w:eastAsia="Arial" w:cs="Arial"/>
      <w:sz w:val="30"/>
      <w:szCs w:val="30"/>
    </w:rPr>
  </w:style>
  <w:style w:type="character" w:styleId="780" w:customStyle="1">
    <w:name w:val="Heading 4 Char"/>
    <w:basedOn w:val="702"/>
    <w:uiPriority w:val="9"/>
    <w:qFormat/>
    <w:rPr>
      <w:rFonts w:ascii="Arial" w:hAnsi="Arial" w:eastAsia="Arial" w:cs="Arial"/>
      <w:b/>
      <w:bCs/>
      <w:sz w:val="26"/>
      <w:szCs w:val="26"/>
    </w:rPr>
  </w:style>
  <w:style w:type="character" w:styleId="781" w:customStyle="1">
    <w:name w:val="Heading 5 Char"/>
    <w:basedOn w:val="702"/>
    <w:uiPriority w:val="9"/>
    <w:qFormat/>
    <w:rPr>
      <w:rFonts w:ascii="Arial" w:hAnsi="Arial" w:eastAsia="Arial" w:cs="Arial"/>
      <w:b/>
      <w:bCs/>
      <w:sz w:val="24"/>
      <w:szCs w:val="24"/>
    </w:rPr>
  </w:style>
  <w:style w:type="character" w:styleId="782" w:customStyle="1">
    <w:name w:val="Heading 6 Char"/>
    <w:basedOn w:val="702"/>
    <w:uiPriority w:val="9"/>
    <w:qFormat/>
    <w:rPr>
      <w:rFonts w:ascii="Arial" w:hAnsi="Arial" w:eastAsia="Arial" w:cs="Arial"/>
      <w:b/>
      <w:bCs/>
      <w:sz w:val="22"/>
      <w:szCs w:val="22"/>
    </w:rPr>
  </w:style>
  <w:style w:type="character" w:styleId="783" w:customStyle="1">
    <w:name w:val="Heading 7 Char"/>
    <w:basedOn w:val="702"/>
    <w:uiPriority w:val="9"/>
    <w:qFormat/>
    <w:rPr>
      <w:rFonts w:ascii="Arial" w:hAnsi="Arial" w:eastAsia="Arial" w:cs="Arial"/>
      <w:b/>
      <w:bCs/>
      <w:i/>
      <w:iCs/>
      <w:sz w:val="22"/>
      <w:szCs w:val="22"/>
    </w:rPr>
  </w:style>
  <w:style w:type="character" w:styleId="784" w:customStyle="1">
    <w:name w:val="Heading 8 Char"/>
    <w:basedOn w:val="702"/>
    <w:uiPriority w:val="9"/>
    <w:qFormat/>
    <w:rPr>
      <w:rFonts w:ascii="Arial" w:hAnsi="Arial" w:eastAsia="Arial" w:cs="Arial"/>
      <w:i/>
      <w:iCs/>
      <w:sz w:val="22"/>
      <w:szCs w:val="22"/>
    </w:rPr>
  </w:style>
  <w:style w:type="character" w:styleId="785" w:customStyle="1">
    <w:name w:val="Heading 9 Char"/>
    <w:basedOn w:val="702"/>
    <w:uiPriority w:val="9"/>
    <w:qFormat/>
    <w:rPr>
      <w:rFonts w:ascii="Arial" w:hAnsi="Arial" w:eastAsia="Arial" w:cs="Arial"/>
      <w:i/>
      <w:iCs/>
      <w:sz w:val="21"/>
      <w:szCs w:val="21"/>
    </w:rPr>
  </w:style>
  <w:style w:type="character" w:styleId="786" w:customStyle="1">
    <w:name w:val="Title Char"/>
    <w:basedOn w:val="702"/>
    <w:uiPriority w:val="10"/>
    <w:qFormat/>
    <w:rPr>
      <w:sz w:val="48"/>
      <w:szCs w:val="48"/>
    </w:rPr>
  </w:style>
  <w:style w:type="character" w:styleId="787" w:customStyle="1">
    <w:name w:val="Subtitle Char"/>
    <w:basedOn w:val="702"/>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11"/>
    <w:uiPriority w:val="39"/>
    <w:unhideWhenUsed/>
    <w:qFormat/>
    <w:rPr>
      <w:rFonts w:hint="default" w:ascii="Times New Roman" w:hAnsi="Times New Roman" w:eastAsia="宋体" w:cs="Times New Roman"/>
      <w:lang w:val="en-US" w:eastAsia="zh-CN" w:bidi="ar-SA"/>
    </w:rPr>
  </w:style>
  <w:style w:type="character" w:styleId="793" w:customStyle="1">
    <w:name w:val="标题 1 字符"/>
    <w:basedOn w:val="702"/>
    <w:link w:val="693"/>
    <w:uiPriority w:val="9"/>
    <w:qFormat/>
    <w:rPr>
      <w:rFonts w:ascii="Arial" w:hAnsi="Arial" w:eastAsia="Arial" w:cs="Arial"/>
      <w:sz w:val="40"/>
      <w:szCs w:val="40"/>
    </w:rPr>
  </w:style>
  <w:style w:type="character" w:styleId="794" w:customStyle="1">
    <w:name w:val="Heading 2 Char"/>
    <w:basedOn w:val="702"/>
    <w:uiPriority w:val="9"/>
    <w:qFormat/>
    <w:rPr>
      <w:rFonts w:ascii="Arial" w:hAnsi="Arial" w:eastAsia="Arial" w:cs="Arial"/>
      <w:sz w:val="34"/>
    </w:rPr>
  </w:style>
  <w:style w:type="character" w:styleId="795" w:customStyle="1">
    <w:name w:val="标题 3 字符"/>
    <w:basedOn w:val="702"/>
    <w:link w:val="695"/>
    <w:uiPriority w:val="9"/>
    <w:qFormat/>
    <w:rPr>
      <w:rFonts w:ascii="Arial" w:hAnsi="Arial" w:eastAsia="Arial" w:cs="Arial"/>
      <w:sz w:val="30"/>
      <w:szCs w:val="30"/>
    </w:rPr>
  </w:style>
  <w:style w:type="character" w:styleId="796" w:customStyle="1">
    <w:name w:val="标题 4 字符"/>
    <w:basedOn w:val="702"/>
    <w:link w:val="696"/>
    <w:uiPriority w:val="9"/>
    <w:qFormat/>
    <w:rPr>
      <w:rFonts w:ascii="Arial" w:hAnsi="Arial" w:eastAsia="Arial" w:cs="Arial"/>
      <w:b/>
      <w:bCs/>
      <w:sz w:val="26"/>
      <w:szCs w:val="26"/>
    </w:rPr>
  </w:style>
  <w:style w:type="character" w:styleId="797" w:customStyle="1">
    <w:name w:val="标题 5 字符"/>
    <w:basedOn w:val="702"/>
    <w:link w:val="697"/>
    <w:uiPriority w:val="9"/>
    <w:qFormat/>
    <w:rPr>
      <w:rFonts w:ascii="Arial" w:hAnsi="Arial" w:eastAsia="Arial" w:cs="Arial"/>
      <w:b/>
      <w:bCs/>
      <w:sz w:val="24"/>
      <w:szCs w:val="24"/>
    </w:rPr>
  </w:style>
  <w:style w:type="character" w:styleId="798" w:customStyle="1">
    <w:name w:val="标题 6 字符"/>
    <w:basedOn w:val="702"/>
    <w:link w:val="698"/>
    <w:uiPriority w:val="9"/>
    <w:qFormat/>
    <w:rPr>
      <w:rFonts w:ascii="Arial" w:hAnsi="Arial" w:eastAsia="Arial" w:cs="Arial"/>
      <w:b/>
      <w:bCs/>
      <w:sz w:val="22"/>
      <w:szCs w:val="22"/>
    </w:rPr>
  </w:style>
  <w:style w:type="character" w:styleId="799" w:customStyle="1">
    <w:name w:val="标题 7 字符"/>
    <w:basedOn w:val="702"/>
    <w:link w:val="699"/>
    <w:uiPriority w:val="9"/>
    <w:qFormat/>
    <w:rPr>
      <w:rFonts w:ascii="Arial" w:hAnsi="Arial" w:eastAsia="Arial" w:cs="Arial"/>
      <w:b/>
      <w:bCs/>
      <w:i/>
      <w:iCs/>
      <w:sz w:val="22"/>
      <w:szCs w:val="22"/>
    </w:rPr>
  </w:style>
  <w:style w:type="character" w:styleId="800" w:customStyle="1">
    <w:name w:val="标题 8 字符"/>
    <w:basedOn w:val="702"/>
    <w:link w:val="700"/>
    <w:uiPriority w:val="9"/>
    <w:qFormat/>
    <w:rPr>
      <w:rFonts w:ascii="Arial" w:hAnsi="Arial" w:eastAsia="Arial" w:cs="Arial"/>
      <w:i/>
      <w:iCs/>
      <w:sz w:val="22"/>
      <w:szCs w:val="22"/>
    </w:rPr>
  </w:style>
  <w:style w:type="character" w:styleId="801" w:customStyle="1">
    <w:name w:val="标题 9 字符"/>
    <w:basedOn w:val="702"/>
    <w:link w:val="701"/>
    <w:uiPriority w:val="9"/>
    <w:qFormat/>
    <w:rPr>
      <w:rFonts w:ascii="Arial" w:hAnsi="Arial" w:eastAsia="Arial" w:cs="Arial"/>
      <w:i/>
      <w:iCs/>
      <w:sz w:val="21"/>
      <w:szCs w:val="21"/>
    </w:rPr>
  </w:style>
  <w:style w:type="paragraph" w:styleId="802">
    <w:name w:val="List Paragraph"/>
    <w:basedOn w:val="692"/>
    <w:uiPriority w:val="34"/>
    <w:qFormat/>
    <w:pPr>
      <w:contextualSpacing/>
      <w:ind w:left="720"/>
    </w:pPr>
  </w:style>
  <w:style w:type="paragraph" w:styleId="803">
    <w:name w:val="No Spacing"/>
    <w:uiPriority w:val="1"/>
    <w:qFormat/>
    <w:rPr>
      <w:rFonts w:hint="default" w:ascii="Calibri" w:hAnsi="Calibri" w:eastAsia="宋体" w:cs="Times New Roman"/>
      <w:lang w:val="en-US" w:eastAsia="zh-CN" w:bidi="ar-SA"/>
    </w:rPr>
  </w:style>
  <w:style w:type="character" w:styleId="804" w:customStyle="1">
    <w:name w:val="标题 字符"/>
    <w:basedOn w:val="702"/>
    <w:link w:val="731"/>
    <w:uiPriority w:val="10"/>
    <w:qFormat/>
    <w:rPr>
      <w:sz w:val="48"/>
      <w:szCs w:val="48"/>
    </w:rPr>
  </w:style>
  <w:style w:type="character" w:styleId="805" w:customStyle="1">
    <w:name w:val="副标题 字符"/>
    <w:basedOn w:val="702"/>
    <w:link w:val="724"/>
    <w:uiPriority w:val="11"/>
    <w:qFormat/>
    <w:rPr>
      <w:sz w:val="24"/>
      <w:szCs w:val="24"/>
    </w:rPr>
  </w:style>
  <w:style w:type="paragraph" w:styleId="806">
    <w:name w:val="Quote"/>
    <w:basedOn w:val="692"/>
    <w:next w:val="692"/>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692"/>
    <w:next w:val="692"/>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Header Char"/>
    <w:basedOn w:val="702"/>
    <w:uiPriority w:val="99"/>
    <w:qFormat/>
  </w:style>
  <w:style w:type="character" w:styleId="811" w:customStyle="1">
    <w:name w:val="Footer Char"/>
    <w:basedOn w:val="702"/>
    <w:uiPriority w:val="99"/>
    <w:qFormat/>
  </w:style>
  <w:style w:type="character" w:styleId="812" w:customStyle="1">
    <w:name w:val="Caption Char"/>
    <w:uiPriority w:val="99"/>
    <w:qFormat/>
  </w:style>
  <w:style w:type="table" w:styleId="813"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4" w:customStyle="1">
    <w:name w:val="Grid Table 1 Light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 Accent 1"/>
    <w:basedOn w:val="70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3"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0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7"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 Accent 1"/>
    <w:basedOn w:val="70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7"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0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9"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7 Colorful - Accent 1"/>
    <w:basedOn w:val="70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0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 Accent 1"/>
    <w:basedOn w:val="70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0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0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 Accent 1"/>
    <w:basedOn w:val="70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0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 Accent 1"/>
    <w:basedOn w:val="70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0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 Accent 1"/>
    <w:basedOn w:val="70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0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 Accent 1"/>
    <w:basedOn w:val="70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0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 Accent 1"/>
    <w:basedOn w:val="70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0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 Accent 1"/>
    <w:basedOn w:val="70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0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0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0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0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0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0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0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字符"/>
    <w:link w:val="725"/>
    <w:uiPriority w:val="99"/>
    <w:qFormat/>
    <w:rPr>
      <w:sz w:val="18"/>
    </w:rPr>
  </w:style>
  <w:style w:type="character" w:styleId="920" w:customStyle="1">
    <w:name w:val="尾注文本 字符"/>
    <w:link w:val="718"/>
    <w:uiPriority w:val="99"/>
    <w:qFormat/>
    <w:rPr>
      <w:sz w:val="20"/>
    </w:rPr>
  </w:style>
  <w:style w:type="paragraph" w:styleId="921" w:customStyle="1">
    <w:name w:val="TOC 标题11"/>
    <w:uiPriority w:val="39"/>
    <w:unhideWhenUsed/>
    <w:qFormat/>
    <w:rPr>
      <w:rFonts w:hint="default" w:ascii="Calibri" w:hAnsi="Calibri" w:eastAsia="宋体" w:cs="Times New Roman"/>
      <w:lang w:val="en-US" w:eastAsia="zh-CN" w:bidi="ar-SA"/>
    </w:rPr>
  </w:style>
  <w:style w:type="paragraph" w:styleId="922" w:customStyle="1">
    <w:name w:val="DAS正文"/>
    <w:basedOn w:val="692"/>
    <w:uiPriority w:val="0"/>
    <w:qFormat/>
    <w:pPr>
      <w:ind w:right="181" w:firstLine="480"/>
      <w:spacing w:line="360" w:lineRule="auto"/>
    </w:pPr>
    <w:rPr>
      <w:rFonts w:ascii="Verdana" w:hAnsi="Verdana"/>
    </w:rPr>
  </w:style>
  <w:style w:type="paragraph" w:styleId="923" w:customStyle="1">
    <w:name w:val="段"/>
    <w:basedOn w:val="924"/>
    <w:next w:val="692"/>
    <w:uiPriority w:val="0"/>
    <w:qFormat/>
    <w:pPr>
      <w:ind w:firstLine="200"/>
      <w:widowControl/>
    </w:pPr>
    <w:rPr>
      <w:sz w:val="20"/>
    </w:rPr>
  </w:style>
  <w:style w:type="paragraph" w:styleId="924" w:customStyle="1">
    <w:name w:val="正文1"/>
    <w:basedOn w:val="706"/>
    <w:next w:val="925"/>
    <w:uiPriority w:val="0"/>
    <w:qFormat/>
    <w:pPr>
      <w:jc w:val="left"/>
      <w:spacing w:line="360" w:lineRule="atLeast"/>
    </w:pPr>
    <w:rPr>
      <w:rFonts w:ascii="宋体" w:hAnsi="Calibri"/>
      <w:sz w:val="24"/>
      <w:szCs w:val="20"/>
    </w:rPr>
  </w:style>
  <w:style w:type="paragraph" w:styleId="925" w:customStyle="1">
    <w:name w:val="正文文本1"/>
    <w:basedOn w:val="926"/>
    <w:next w:val="928"/>
    <w:uiPriority w:val="0"/>
    <w:qFormat/>
    <w:pPr>
      <w:spacing w:after="120"/>
    </w:pPr>
  </w:style>
  <w:style w:type="paragraph" w:styleId="926" w:customStyle="1">
    <w:name w:val="正文12"/>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文本块11"/>
    <w:basedOn w:val="926"/>
    <w:uiPriority w:val="6"/>
    <w:unhideWhenUsed/>
    <w:qFormat/>
    <w:pPr>
      <w:ind w:left="1440" w:right="1440"/>
      <w:spacing w:after="120"/>
    </w:pPr>
  </w:style>
  <w:style w:type="paragraph" w:styleId="928" w:customStyle="1">
    <w:name w:val="一级条标题"/>
    <w:basedOn w:val="929"/>
    <w:next w:val="9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9" w:customStyle="1">
    <w:name w:val="章标题"/>
    <w:next w:val="6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0" w:customStyle="1">
    <w:name w:val="脚注文本1"/>
    <w:basedOn w:val="924"/>
    <w:next w:val="931"/>
    <w:uiPriority w:val="0"/>
    <w:qFormat/>
    <w:rPr>
      <w:rFonts w:eastAsia="Times New Roman"/>
      <w:sz w:val="18"/>
      <w:szCs w:val="18"/>
    </w:rPr>
  </w:style>
  <w:style w:type="paragraph" w:styleId="931" w:customStyle="1">
    <w:name w:val="索引 51"/>
    <w:basedOn w:val="924"/>
    <w:next w:val="924"/>
    <w:uiPriority w:val="0"/>
    <w:qFormat/>
    <w:pPr>
      <w:ind w:left="798"/>
    </w:pPr>
    <w:rPr>
      <w:rFonts w:ascii="Calibri"/>
    </w:rPr>
  </w:style>
  <w:style w:type="paragraph" w:styleId="932" w:customStyle="1">
    <w:name w:val="标题 21"/>
    <w:basedOn w:val="692"/>
    <w:next w:val="692"/>
    <w:uiPriority w:val="0"/>
    <w:qFormat/>
    <w:pPr>
      <w:jc w:val="left"/>
      <w:keepLines/>
      <w:keepNext/>
      <w:spacing w:before="50"/>
      <w:tabs>
        <w:tab w:val="left" w:pos="0" w:leader="none"/>
      </w:tabs>
    </w:pPr>
    <w:rPr>
      <w:rFonts w:ascii="Arial" w:hAnsi="Arial" w:eastAsia="黑体"/>
      <w:sz w:val="32"/>
      <w:szCs w:val="20"/>
    </w:rPr>
  </w:style>
  <w:style w:type="character" w:styleId="933" w:customStyle="1">
    <w:name w:val="NormalCharacter"/>
    <w:uiPriority w:val="0"/>
    <w:semiHidden/>
    <w:qFormat/>
    <w:rPr>
      <w:sz w:val="28"/>
      <w:lang w:val="en-US" w:eastAsia="zh-CN" w:bidi="ar-SA"/>
    </w:rPr>
  </w:style>
  <w:style w:type="paragraph" w:styleId="934" w:customStyle="1">
    <w:name w:val="BodyTextIndent"/>
    <w:basedOn w:val="692"/>
    <w:next w:val="935"/>
    <w:uiPriority w:val="0"/>
    <w:qFormat/>
    <w:pPr>
      <w:ind w:left="420"/>
      <w:spacing w:after="120"/>
    </w:pPr>
  </w:style>
  <w:style w:type="paragraph" w:styleId="935" w:customStyle="1">
    <w:name w:val="EnvelopeReturn"/>
    <w:basedOn w:val="692"/>
    <w:uiPriority w:val="0"/>
    <w:qFormat/>
    <w:rPr>
      <w:rFonts w:ascii="Arial" w:hAnsi="Arial"/>
    </w:rPr>
  </w:style>
  <w:style w:type="paragraph" w:styleId="936" w:customStyle="1">
    <w:name w:val="p0"/>
    <w:basedOn w:val="692"/>
    <w:uiPriority w:val="0"/>
    <w:qFormat/>
    <w:pPr>
      <w:widowControl/>
    </w:pPr>
    <w:rPr>
      <w:szCs w:val="21"/>
    </w:rPr>
  </w:style>
  <w:style w:type="paragraph" w:styleId="937" w:customStyle="1">
    <w:name w:val="正文首行缩进1"/>
    <w:basedOn w:val="925"/>
    <w:uiPriority w:val="0"/>
    <w:qFormat/>
    <w:pPr>
      <w:ind w:firstLine="420"/>
    </w:pPr>
  </w:style>
  <w:style w:type="table" w:styleId="938"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39" w:customStyle="1">
    <w:name w:val="方案表格"/>
    <w:basedOn w:val="692"/>
    <w:uiPriority w:val="0"/>
    <w:qFormat/>
    <w:pPr>
      <w:contextualSpacing/>
    </w:pPr>
    <w:rPr>
      <w:rFonts w:cstheme="minorBidi"/>
      <w:szCs w:val="21"/>
    </w:rPr>
  </w:style>
  <w:style w:type="table" w:styleId="940" w:customStyle="1">
    <w:name w:val="文档表格无标题列型（绿盟科技）"/>
    <w:basedOn w:val="733"/>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941" w:customStyle="1">
    <w:name w:val="批注框文本 字符"/>
    <w:basedOn w:val="702"/>
    <w:link w:val="719"/>
    <w:uiPriority w:val="99"/>
    <w:semiHidden/>
    <w:qFormat/>
    <w:rPr>
      <w:sz w:val="18"/>
      <w:szCs w:val="18"/>
    </w:rPr>
  </w:style>
  <w:style w:type="character" w:styleId="942" w:customStyle="1">
    <w:name w:val="批注文字 字符"/>
    <w:basedOn w:val="702"/>
    <w:link w:val="711"/>
    <w:uiPriority w:val="0"/>
    <w:qFormat/>
    <w:rPr>
      <w:sz w:val="21"/>
      <w:szCs w:val="24"/>
    </w:rPr>
  </w:style>
  <w:style w:type="character" w:styleId="943" w:customStyle="1">
    <w:name w:val="批注主题 字符"/>
    <w:basedOn w:val="942"/>
    <w:link w:val="732"/>
    <w:uiPriority w:val="99"/>
    <w:semiHidden/>
    <w:qFormat/>
    <w:rPr>
      <w:b/>
      <w:bCs/>
      <w:sz w:val="21"/>
      <w:szCs w:val="24"/>
    </w:rPr>
  </w:style>
  <w:style w:type="character" w:styleId="944" w:customStyle="1">
    <w:name w:val="font11"/>
    <w:basedOn w:val="702"/>
    <w:uiPriority w:val="0"/>
    <w:qFormat/>
    <w:rPr>
      <w:rFonts w:hint="eastAsia" w:ascii="宋体" w:hAnsi="宋体" w:eastAsia="宋体" w:cs="宋体"/>
      <w:color w:val="000000"/>
      <w:sz w:val="21"/>
      <w:szCs w:val="21"/>
      <w:u w:val="none"/>
    </w:rPr>
  </w:style>
  <w:style w:type="character" w:styleId="945" w:customStyle="1">
    <w:name w:val="font01"/>
    <w:basedOn w:val="702"/>
    <w:uiPriority w:val="0"/>
    <w:qFormat/>
    <w:rPr>
      <w:rFonts w:hint="default" w:ascii="Times New Roman" w:hAnsi="Times New Roman" w:cs="Times New Roman"/>
      <w:color w:val="000000"/>
      <w:sz w:val="21"/>
      <w:szCs w:val="21"/>
      <w:u w:val="none"/>
    </w:rPr>
  </w:style>
  <w:style w:type="character" w:styleId="946" w:customStyle="1">
    <w:name w:val="font21"/>
    <w:basedOn w:val="702"/>
    <w:uiPriority w:val="0"/>
    <w:qFormat/>
    <w:rPr>
      <w:rFonts w:hint="eastAsia" w:ascii="宋体" w:hAnsi="宋体" w:eastAsia="宋体" w:cs="宋体"/>
      <w:b/>
      <w:bCs/>
      <w:color w:val="000000"/>
      <w:sz w:val="22"/>
      <w:szCs w:val="22"/>
      <w:u w:val="none"/>
    </w:rPr>
  </w:style>
  <w:style w:type="character" w:styleId="947" w:customStyle="1">
    <w:name w:val="font31"/>
    <w:basedOn w:val="702"/>
    <w:uiPriority w:val="0"/>
    <w:qFormat/>
    <w:rPr>
      <w:rFonts w:hint="eastAsia" w:ascii="宋体" w:hAnsi="宋体" w:eastAsia="宋体" w:cs="宋体"/>
      <w:color w:val="000000"/>
      <w:sz w:val="22"/>
      <w:szCs w:val="22"/>
      <w:u w:val="none"/>
    </w:rPr>
  </w:style>
  <w:style w:type="character" w:styleId="948" w:customStyle="1">
    <w:name w:val="font51"/>
    <w:basedOn w:val="702"/>
    <w:uiPriority w:val="0"/>
    <w:qFormat/>
    <w:rPr>
      <w:rFonts w:hint="eastAsia" w:ascii="宋体" w:hAnsi="宋体" w:eastAsia="宋体" w:cs="宋体"/>
      <w:color w:val="000000"/>
      <w:sz w:val="21"/>
      <w:szCs w:val="21"/>
      <w:u w:val="none"/>
    </w:rPr>
  </w:style>
  <w:style w:type="paragraph" w:styleId="949" w:customStyle="1">
    <w:name w:val="寄信人地址1"/>
    <w:basedOn w:val="706"/>
    <w:uiPriority w:val="0"/>
    <w:qFormat/>
    <w:rPr>
      <w:rFonts w:ascii="Arial" w:hAnsi="Arial"/>
    </w:rPr>
  </w:style>
  <w:style w:type="paragraph" w:styleId="950" w:customStyle="1">
    <w:name w:val="Table Paragraph"/>
    <w:basedOn w:val="692"/>
    <w:uiPriority w:val="1"/>
    <w:qFormat/>
  </w:style>
  <w:style w:type="paragraph" w:styleId="951" w:customStyle="1">
    <w:name w:val="样式1"/>
    <w:basedOn w:val="952"/>
    <w:uiPriority w:val="0"/>
    <w:qFormat/>
    <w:pPr>
      <w:ind w:firstLine="420"/>
    </w:pPr>
    <w:rPr>
      <w:rFonts w:ascii="宋体" w:hAnsi="宋体"/>
      <w:color w:val="000000" w:themeColor="text1"/>
      <w14:textFill>
        <w14:solidFill>
          <w14:schemeClr w14:val="tx1"/>
        </w14:solidFill>
      </w14:textFill>
    </w:rPr>
  </w:style>
  <w:style w:type="paragraph" w:styleId="952"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9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numbering" w:styleId="108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宋涛</cp:lastModifiedBy>
  <cp:revision>43</cp:revision>
  <dcterms:created xsi:type="dcterms:W3CDTF">2023-09-20T00:15:00Z</dcterms:created>
  <dcterms:modified xsi:type="dcterms:W3CDTF">2026-02-06T09:20:31Z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10460DB96E6C4083B64B81F6EBFB69ED_13</vt:lpwstr>
  </property>
  <property fmtid="{D5CDD505-2E9C-101B-9397-08002B2CF9AE}" pid="4" name="KSOTemplateDocerSaveRecord">
    <vt:lpwstr>eyJoZGlkIjoiODZiNTQ4OWU1ZmQ2YWQwNGNhMzdiYjU5MWM1ZDdjY2EiLCJ1c2VySWQiOiIxMzYxNDc2MDc5In0=</vt:lpwstr>
  </property>
</Properties>
</file>